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E4504" w14:textId="77777777" w:rsidR="005216E5" w:rsidRDefault="005216E5" w:rsidP="006A7AA5">
      <w:pPr>
        <w:pStyle w:val="Normal1"/>
        <w:spacing w:before="0" w:after="0"/>
        <w:jc w:val="center"/>
        <w:rPr>
          <w:b/>
          <w:u w:val="single"/>
        </w:rPr>
      </w:pPr>
      <w:proofErr w:type="spellStart"/>
      <w:r w:rsidRPr="005216E5">
        <w:rPr>
          <w:b/>
          <w:u w:val="single"/>
        </w:rPr>
        <w:t>Situaţii</w:t>
      </w:r>
      <w:proofErr w:type="spellEnd"/>
      <w:r w:rsidRPr="005216E5">
        <w:rPr>
          <w:b/>
          <w:u w:val="single"/>
        </w:rPr>
        <w:t xml:space="preserve"> particulare</w:t>
      </w:r>
      <w:r w:rsidR="00BE3680">
        <w:rPr>
          <w:b/>
          <w:u w:val="single"/>
        </w:rPr>
        <w:t xml:space="preserve"> aplicabile</w:t>
      </w:r>
    </w:p>
    <w:p w14:paraId="4AFAB2AC" w14:textId="77777777" w:rsidR="000731D1" w:rsidRDefault="000731D1" w:rsidP="000731D1">
      <w:pPr>
        <w:pStyle w:val="Normal1"/>
        <w:spacing w:before="0" w:after="120"/>
      </w:pPr>
    </w:p>
    <w:p w14:paraId="0EA55305" w14:textId="77777777" w:rsidR="0017777A" w:rsidRDefault="005216E5" w:rsidP="000731D1">
      <w:pPr>
        <w:pStyle w:val="Normal1"/>
        <w:numPr>
          <w:ilvl w:val="0"/>
          <w:numId w:val="27"/>
        </w:numPr>
        <w:spacing w:before="0" w:after="120"/>
        <w:rPr>
          <w:b/>
        </w:rPr>
      </w:pPr>
      <w:r w:rsidRPr="005216E5">
        <w:rPr>
          <w:b/>
        </w:rPr>
        <w:t>Modificarea</w:t>
      </w:r>
      <w:r w:rsidR="00F8706A" w:rsidRPr="00F8706A">
        <w:t xml:space="preserve"> </w:t>
      </w:r>
      <w:r w:rsidR="00F8706A" w:rsidRPr="00F8706A">
        <w:rPr>
          <w:b/>
        </w:rPr>
        <w:t>tipului de proprietar/</w:t>
      </w:r>
      <w:r w:rsidR="00F8706A">
        <w:rPr>
          <w:b/>
        </w:rPr>
        <w:t xml:space="preserve"> </w:t>
      </w:r>
      <w:proofErr w:type="spellStart"/>
      <w:r w:rsidRPr="005216E5">
        <w:rPr>
          <w:b/>
        </w:rPr>
        <w:t>destinaţiei</w:t>
      </w:r>
      <w:proofErr w:type="spellEnd"/>
      <w:r w:rsidRPr="005216E5">
        <w:rPr>
          <w:b/>
        </w:rPr>
        <w:t xml:space="preserve"> apartamentelor în perioada de pregătire a proiectelor,</w:t>
      </w:r>
      <w:r w:rsidR="0018235C">
        <w:rPr>
          <w:b/>
        </w:rPr>
        <w:t xml:space="preserve"> </w:t>
      </w:r>
      <w:r w:rsidR="0018235C">
        <w:rPr>
          <w:b/>
          <w:szCs w:val="20"/>
        </w:rPr>
        <w:t>de evaluare ș</w:t>
      </w:r>
      <w:r w:rsidR="0018235C" w:rsidRPr="00BE2823">
        <w:rPr>
          <w:b/>
          <w:szCs w:val="20"/>
        </w:rPr>
        <w:t xml:space="preserve">i contractare a cererii de </w:t>
      </w:r>
      <w:proofErr w:type="spellStart"/>
      <w:r w:rsidR="0018235C" w:rsidRPr="00BE2823">
        <w:rPr>
          <w:b/>
          <w:szCs w:val="20"/>
        </w:rPr>
        <w:t>finantare</w:t>
      </w:r>
      <w:proofErr w:type="spellEnd"/>
      <w:r w:rsidR="0018235C">
        <w:rPr>
          <w:b/>
          <w:szCs w:val="20"/>
        </w:rPr>
        <w:t>,</w:t>
      </w:r>
      <w:r w:rsidRPr="005216E5">
        <w:rPr>
          <w:b/>
        </w:rPr>
        <w:t xml:space="preserve"> respec</w:t>
      </w:r>
      <w:r w:rsidR="0079185A">
        <w:rPr>
          <w:b/>
        </w:rPr>
        <w:t>tiv în perioada de implementare</w:t>
      </w:r>
      <w:r w:rsidRPr="005216E5">
        <w:rPr>
          <w:b/>
        </w:rPr>
        <w:t xml:space="preserve"> a acestora</w:t>
      </w:r>
      <w:r w:rsidR="009023B4">
        <w:rPr>
          <w:b/>
        </w:rPr>
        <w:t>:</w:t>
      </w:r>
    </w:p>
    <w:p w14:paraId="776E94D2" w14:textId="77777777" w:rsidR="005216E5" w:rsidRDefault="005216E5" w:rsidP="00D326A5">
      <w:pPr>
        <w:pStyle w:val="Normal1"/>
        <w:numPr>
          <w:ilvl w:val="0"/>
          <w:numId w:val="31"/>
        </w:numPr>
        <w:spacing w:before="0" w:after="120"/>
      </w:pPr>
      <w:r w:rsidRPr="005216E5">
        <w:t xml:space="preserve">În </w:t>
      </w:r>
      <w:proofErr w:type="spellStart"/>
      <w:r w:rsidRPr="005216E5">
        <w:t>situaţia</w:t>
      </w:r>
      <w:proofErr w:type="spellEnd"/>
      <w:r w:rsidRPr="005216E5">
        <w:t xml:space="preserve"> în care apar modificări </w:t>
      </w:r>
      <w:r w:rsidR="001C0F21">
        <w:t>ale tipului de proprietar/</w:t>
      </w:r>
      <w:r w:rsidRPr="005216E5">
        <w:t xml:space="preserve">de </w:t>
      </w:r>
      <w:proofErr w:type="spellStart"/>
      <w:r w:rsidRPr="005216E5">
        <w:t>destinaţie</w:t>
      </w:r>
      <w:proofErr w:type="spellEnd"/>
      <w:r w:rsidRPr="005216E5">
        <w:t xml:space="preserve"> a apartamentelor în </w:t>
      </w:r>
      <w:r w:rsidRPr="00343137">
        <w:rPr>
          <w:u w:val="single"/>
        </w:rPr>
        <w:t>perioada de pregătire</w:t>
      </w:r>
      <w:r w:rsidR="006B3A71">
        <w:t xml:space="preserve"> </w:t>
      </w:r>
      <w:r w:rsidRPr="006B3A71">
        <w:t>a</w:t>
      </w:r>
      <w:r w:rsidRPr="005216E5">
        <w:t xml:space="preserve"> proiectelor, este responsabilitatea directă a UAT să verifice la momentul depunerii cererii de </w:t>
      </w:r>
      <w:proofErr w:type="spellStart"/>
      <w:r w:rsidRPr="005216E5">
        <w:t>finanţare</w:t>
      </w:r>
      <w:proofErr w:type="spellEnd"/>
      <w:r w:rsidRPr="005216E5">
        <w:t xml:space="preserve"> dacă modificările respective afectează sau </w:t>
      </w:r>
      <w:r w:rsidR="00343137">
        <w:t xml:space="preserve">nu </w:t>
      </w:r>
      <w:proofErr w:type="spellStart"/>
      <w:r w:rsidR="00343137">
        <w:t>condiţiile</w:t>
      </w:r>
      <w:proofErr w:type="spellEnd"/>
      <w:r w:rsidR="00343137">
        <w:t xml:space="preserve"> de eligibilitate (ex. respectarea </w:t>
      </w:r>
      <w:proofErr w:type="spellStart"/>
      <w:r w:rsidR="00343137">
        <w:t>proporţiei</w:t>
      </w:r>
      <w:proofErr w:type="spellEnd"/>
      <w:r w:rsidRPr="005216E5">
        <w:t xml:space="preserve"> de 2/3 din totalul proprietarilor de apartamente care trebuie să fie de</w:t>
      </w:r>
      <w:r w:rsidR="00343137">
        <w:t xml:space="preserve"> acord cu înscrierea în program)</w:t>
      </w:r>
      <w:r w:rsidR="009023B4">
        <w:t>;</w:t>
      </w:r>
    </w:p>
    <w:p w14:paraId="68502A5B" w14:textId="77777777" w:rsidR="00343137" w:rsidRPr="00343137" w:rsidRDefault="00343137" w:rsidP="00D326A5">
      <w:pPr>
        <w:pStyle w:val="Normal1"/>
        <w:numPr>
          <w:ilvl w:val="0"/>
          <w:numId w:val="31"/>
        </w:numPr>
        <w:spacing w:before="0" w:after="120"/>
      </w:pPr>
      <w:r w:rsidRPr="00343137">
        <w:t xml:space="preserve">UAT va notifica </w:t>
      </w:r>
      <w:proofErr w:type="spellStart"/>
      <w:r w:rsidRPr="00343137">
        <w:t>asociaţiile</w:t>
      </w:r>
      <w:proofErr w:type="spellEnd"/>
      <w:r w:rsidRPr="00343137">
        <w:t xml:space="preserve"> de proprietari ca, în </w:t>
      </w:r>
      <w:proofErr w:type="spellStart"/>
      <w:r w:rsidRPr="00343137">
        <w:t>situaţia</w:t>
      </w:r>
      <w:proofErr w:type="spellEnd"/>
      <w:r w:rsidRPr="00343137">
        <w:t xml:space="preserve"> în care apar modificări ale tipului de proprietar/de </w:t>
      </w:r>
      <w:proofErr w:type="spellStart"/>
      <w:r w:rsidRPr="00343137">
        <w:t>destinaţie</w:t>
      </w:r>
      <w:proofErr w:type="spellEnd"/>
      <w:r w:rsidRPr="00343137">
        <w:t xml:space="preserve"> a apartamentelor în </w:t>
      </w:r>
      <w:r w:rsidRPr="00830C7F">
        <w:rPr>
          <w:u w:val="single"/>
        </w:rPr>
        <w:t xml:space="preserve">etapa de evaluare </w:t>
      </w:r>
      <w:proofErr w:type="spellStart"/>
      <w:r w:rsidRPr="00830C7F">
        <w:rPr>
          <w:u w:val="single"/>
        </w:rPr>
        <w:t>şi</w:t>
      </w:r>
      <w:proofErr w:type="spellEnd"/>
      <w:r w:rsidRPr="00830C7F">
        <w:rPr>
          <w:u w:val="single"/>
        </w:rPr>
        <w:t xml:space="preserve"> </w:t>
      </w:r>
      <w:proofErr w:type="spellStart"/>
      <w:r w:rsidRPr="00830C7F">
        <w:rPr>
          <w:u w:val="single"/>
        </w:rPr>
        <w:t>selecţie</w:t>
      </w:r>
      <w:proofErr w:type="spellEnd"/>
      <w:r w:rsidRPr="00830C7F">
        <w:rPr>
          <w:u w:val="single"/>
        </w:rPr>
        <w:t xml:space="preserve"> sau</w:t>
      </w:r>
      <w:r w:rsidR="009023B4">
        <w:rPr>
          <w:u w:val="single"/>
        </w:rPr>
        <w:t xml:space="preserve"> </w:t>
      </w:r>
      <w:r w:rsidRPr="00830C7F">
        <w:rPr>
          <w:u w:val="single"/>
        </w:rPr>
        <w:t>contractare</w:t>
      </w:r>
      <w:r w:rsidRPr="00343137">
        <w:t xml:space="preserve"> a proiectelor, acestea trebuie declarate de </w:t>
      </w:r>
      <w:proofErr w:type="spellStart"/>
      <w:r w:rsidRPr="00343137">
        <w:t>Asociaţia</w:t>
      </w:r>
      <w:proofErr w:type="spellEnd"/>
      <w:r w:rsidRPr="00343137">
        <w:t xml:space="preserve"> de Proprietari. UAT va notifica  ADR </w:t>
      </w:r>
      <w:proofErr w:type="spellStart"/>
      <w:r w:rsidRPr="00343137">
        <w:t>şi</w:t>
      </w:r>
      <w:proofErr w:type="spellEnd"/>
      <w:r w:rsidRPr="00343137">
        <w:t>/sau AMPOR, care vor verifica dacă modificările respective afectează sau</w:t>
      </w:r>
      <w:r>
        <w:t xml:space="preserve"> nu </w:t>
      </w:r>
      <w:proofErr w:type="spellStart"/>
      <w:r>
        <w:t>condiţiile</w:t>
      </w:r>
      <w:proofErr w:type="spellEnd"/>
      <w:r>
        <w:t xml:space="preserve"> de eligibilitate</w:t>
      </w:r>
      <w:r w:rsidRPr="00343137">
        <w:t xml:space="preserve"> </w:t>
      </w:r>
      <w:r>
        <w:t xml:space="preserve">(ex. respectarea </w:t>
      </w:r>
      <w:proofErr w:type="spellStart"/>
      <w:r>
        <w:t>proporţiei</w:t>
      </w:r>
      <w:proofErr w:type="spellEnd"/>
      <w:r w:rsidRPr="005216E5">
        <w:t xml:space="preserve"> de 2/3 din totalul proprietarilor de apartamente care trebuie să fie de</w:t>
      </w:r>
      <w:r>
        <w:t xml:space="preserve"> acord cu înscrierea în program)</w:t>
      </w:r>
      <w:r w:rsidR="009023B4">
        <w:t>.</w:t>
      </w:r>
    </w:p>
    <w:p w14:paraId="6675DED1" w14:textId="77777777" w:rsidR="0079185A" w:rsidRDefault="00343137" w:rsidP="009023B4">
      <w:pPr>
        <w:pStyle w:val="Normal1"/>
        <w:spacing w:before="0" w:after="120"/>
        <w:ind w:left="284"/>
      </w:pPr>
      <w:r>
        <w:t xml:space="preserve">În </w:t>
      </w:r>
      <w:r w:rsidR="00E805E6">
        <w:t>cazul</w:t>
      </w:r>
      <w:r>
        <w:t xml:space="preserve"> </w:t>
      </w:r>
      <w:proofErr w:type="spellStart"/>
      <w:r>
        <w:t>situaţii</w:t>
      </w:r>
      <w:r w:rsidR="009023B4">
        <w:t>lor</w:t>
      </w:r>
      <w:proofErr w:type="spellEnd"/>
      <w:r w:rsidR="00830C7F">
        <w:t xml:space="preserve"> </w:t>
      </w:r>
      <w:r w:rsidR="00D326A5">
        <w:t>de la punctele a și b</w:t>
      </w:r>
      <w:r w:rsidR="005216E5" w:rsidRPr="005216E5">
        <w:t>, se va avea în vedere r</w:t>
      </w:r>
      <w:r>
        <w:t>evizuirea bugetului proiectului</w:t>
      </w:r>
      <w:r w:rsidR="005216E5" w:rsidRPr="005216E5">
        <w:t xml:space="preserve"> în sensul in</w:t>
      </w:r>
      <w:r w:rsidR="005216E5">
        <w:t xml:space="preserve">cluderii cheltuielilor aferente lucrărilor de </w:t>
      </w:r>
      <w:proofErr w:type="spellStart"/>
      <w:r w:rsidR="005216E5">
        <w:t>intervenţie</w:t>
      </w:r>
      <w:proofErr w:type="spellEnd"/>
      <w:r w:rsidR="005216E5">
        <w:t xml:space="preserve"> </w:t>
      </w:r>
      <w:r w:rsidR="005216E5" w:rsidRPr="005216E5">
        <w:t>a</w:t>
      </w:r>
      <w:r w:rsidR="005216E5">
        <w:t>le</w:t>
      </w:r>
      <w:r w:rsidR="005216E5" w:rsidRPr="005216E5">
        <w:t xml:space="preserve"> unui apartament care </w:t>
      </w:r>
      <w:proofErr w:type="spellStart"/>
      <w:r w:rsidR="005216E5" w:rsidRPr="005216E5">
        <w:t>şi</w:t>
      </w:r>
      <w:proofErr w:type="spellEnd"/>
      <w:r w:rsidR="005216E5" w:rsidRPr="005216E5">
        <w:t xml:space="preserve">-a schimbat </w:t>
      </w:r>
      <w:r w:rsidR="00214CB2">
        <w:t xml:space="preserve">tipul de </w:t>
      </w:r>
      <w:r w:rsidR="00214CB2" w:rsidRPr="00D326A5">
        <w:rPr>
          <w:u w:val="single"/>
        </w:rPr>
        <w:t>proprietar/</w:t>
      </w:r>
      <w:proofErr w:type="spellStart"/>
      <w:r w:rsidR="005216E5" w:rsidRPr="00D326A5">
        <w:rPr>
          <w:u w:val="single"/>
        </w:rPr>
        <w:t>destinaţia</w:t>
      </w:r>
      <w:proofErr w:type="spellEnd"/>
      <w:r w:rsidR="0079185A">
        <w:t xml:space="preserve"> astfel:</w:t>
      </w:r>
    </w:p>
    <w:p w14:paraId="52F1D822" w14:textId="77777777" w:rsidR="000731D1" w:rsidRPr="00D326A5" w:rsidRDefault="005345FB" w:rsidP="00D326A5">
      <w:pPr>
        <w:pStyle w:val="Normal1"/>
        <w:numPr>
          <w:ilvl w:val="0"/>
          <w:numId w:val="28"/>
        </w:numPr>
        <w:spacing w:before="0" w:after="120"/>
        <w:ind w:left="1134"/>
      </w:pPr>
      <w:r>
        <w:t xml:space="preserve">Când apartamentul trece din </w:t>
      </w:r>
      <w:r w:rsidRPr="00D326A5">
        <w:rPr>
          <w:u w:val="single"/>
        </w:rPr>
        <w:t>proprietatea</w:t>
      </w:r>
      <w:r>
        <w:t xml:space="preserve"> unei persoane fizice în proprietatea unei persoane juridice sau instituții publice</w:t>
      </w:r>
      <w:r w:rsidR="000731D1">
        <w:t xml:space="preserve"> sau</w:t>
      </w:r>
      <w:r>
        <w:t xml:space="preserve"> </w:t>
      </w:r>
      <w:r w:rsidR="000731D1">
        <w:t xml:space="preserve">își schimbă </w:t>
      </w:r>
      <w:r w:rsidR="000731D1" w:rsidRPr="00D326A5">
        <w:rPr>
          <w:u w:val="single"/>
        </w:rPr>
        <w:t>destinația</w:t>
      </w:r>
      <w:r w:rsidR="000731D1">
        <w:t xml:space="preserve"> din spațiu de</w:t>
      </w:r>
      <w:r w:rsidR="00D326A5">
        <w:t xml:space="preserve"> locuit în spațiu comercial/</w:t>
      </w:r>
      <w:r w:rsidR="000731D1">
        <w:t>spațiu cu altă des</w:t>
      </w:r>
      <w:bookmarkStart w:id="0" w:name="_GoBack"/>
      <w:bookmarkEnd w:id="0"/>
      <w:r w:rsidR="000731D1">
        <w:t xml:space="preserve">tinație, </w:t>
      </w:r>
      <w:r>
        <w:t>vor crește corespunzător cheltuielile neeligibile ale proiectului</w:t>
      </w:r>
      <w:r w:rsidR="00D326A5">
        <w:t xml:space="preserve"> (suplimentar, </w:t>
      </w:r>
      <w:r w:rsidR="00D326A5" w:rsidRPr="000731D1">
        <w:rPr>
          <w:bCs/>
          <w:szCs w:val="20"/>
        </w:rPr>
        <w:t xml:space="preserve">este nevoie de acordul proprietarului apartamentului devenit </w:t>
      </w:r>
      <w:proofErr w:type="spellStart"/>
      <w:r w:rsidR="00D326A5" w:rsidRPr="000731D1">
        <w:rPr>
          <w:bCs/>
          <w:szCs w:val="20"/>
        </w:rPr>
        <w:t>spaţiu</w:t>
      </w:r>
      <w:proofErr w:type="spellEnd"/>
      <w:r w:rsidR="00D326A5" w:rsidRPr="000731D1">
        <w:rPr>
          <w:bCs/>
          <w:szCs w:val="20"/>
        </w:rPr>
        <w:t xml:space="preserve"> comercial/</w:t>
      </w:r>
      <w:proofErr w:type="spellStart"/>
      <w:r w:rsidR="00D326A5" w:rsidRPr="000731D1">
        <w:rPr>
          <w:bCs/>
          <w:szCs w:val="20"/>
        </w:rPr>
        <w:t>spaţiu</w:t>
      </w:r>
      <w:proofErr w:type="spellEnd"/>
      <w:r w:rsidR="00D326A5" w:rsidRPr="000731D1">
        <w:rPr>
          <w:bCs/>
          <w:szCs w:val="20"/>
        </w:rPr>
        <w:t xml:space="preserve"> cu altă </w:t>
      </w:r>
      <w:proofErr w:type="spellStart"/>
      <w:r w:rsidR="00D326A5" w:rsidRPr="000731D1">
        <w:rPr>
          <w:bCs/>
          <w:szCs w:val="20"/>
        </w:rPr>
        <w:t>destinaţie</w:t>
      </w:r>
      <w:proofErr w:type="spellEnd"/>
      <w:r w:rsidR="00D326A5" w:rsidRPr="000731D1">
        <w:rPr>
          <w:bCs/>
          <w:szCs w:val="20"/>
        </w:rPr>
        <w:t xml:space="preserve"> decât cea de </w:t>
      </w:r>
      <w:proofErr w:type="spellStart"/>
      <w:r w:rsidR="00D326A5" w:rsidRPr="000731D1">
        <w:rPr>
          <w:bCs/>
          <w:szCs w:val="20"/>
        </w:rPr>
        <w:t>locuinţă</w:t>
      </w:r>
      <w:proofErr w:type="spellEnd"/>
      <w:r w:rsidR="00D326A5" w:rsidRPr="000731D1">
        <w:rPr>
          <w:bCs/>
          <w:szCs w:val="20"/>
        </w:rPr>
        <w:t xml:space="preserve"> pentru lucrările de </w:t>
      </w:r>
      <w:proofErr w:type="spellStart"/>
      <w:r w:rsidR="00D326A5" w:rsidRPr="000731D1">
        <w:rPr>
          <w:bCs/>
          <w:szCs w:val="20"/>
        </w:rPr>
        <w:t>investiţie</w:t>
      </w:r>
      <w:proofErr w:type="spellEnd"/>
      <w:r w:rsidR="00D326A5" w:rsidRPr="000731D1">
        <w:rPr>
          <w:bCs/>
          <w:szCs w:val="20"/>
        </w:rPr>
        <w:t xml:space="preserve"> propuse</w:t>
      </w:r>
      <w:r w:rsidR="00D326A5">
        <w:rPr>
          <w:bCs/>
          <w:szCs w:val="20"/>
        </w:rPr>
        <w:t>)</w:t>
      </w:r>
      <w:r>
        <w:t>;</w:t>
      </w:r>
    </w:p>
    <w:p w14:paraId="22FD72E2" w14:textId="77777777" w:rsidR="005345FB" w:rsidRDefault="005345FB" w:rsidP="000731D1">
      <w:pPr>
        <w:pStyle w:val="Normal1"/>
        <w:numPr>
          <w:ilvl w:val="0"/>
          <w:numId w:val="28"/>
        </w:numPr>
        <w:spacing w:before="0" w:after="120"/>
        <w:ind w:left="1134"/>
      </w:pPr>
      <w:r>
        <w:t xml:space="preserve">Când apartamentul trece din </w:t>
      </w:r>
      <w:r w:rsidRPr="00D326A5">
        <w:rPr>
          <w:u w:val="single"/>
        </w:rPr>
        <w:t>proprietatea</w:t>
      </w:r>
      <w:r>
        <w:t xml:space="preserve"> unei persoane juridice sau instituții publice în proprietatea unei persoane fizice (</w:t>
      </w:r>
      <w:r w:rsidRPr="00D326A5">
        <w:t>avâ</w:t>
      </w:r>
      <w:r w:rsidR="000731D1" w:rsidRPr="00D326A5">
        <w:t>n</w:t>
      </w:r>
      <w:r w:rsidRPr="00D326A5">
        <w:t>d destinație de locuință</w:t>
      </w:r>
      <w:r>
        <w:t>)</w:t>
      </w:r>
      <w:r w:rsidR="00D326A5">
        <w:t xml:space="preserve"> sau își schimbă </w:t>
      </w:r>
      <w:r w:rsidR="00D326A5" w:rsidRPr="00D326A5">
        <w:rPr>
          <w:u w:val="single"/>
        </w:rPr>
        <w:t>destinația</w:t>
      </w:r>
      <w:r w:rsidR="00D326A5">
        <w:t xml:space="preserve"> din spațiu comercial/spațiu cu altă destinație în spațiu de locuit (având proprietar persoană fizică) </w:t>
      </w:r>
      <w:r w:rsidR="000731D1">
        <w:t>vor crește corespunzător cheltuielile</w:t>
      </w:r>
      <w:r>
        <w:t xml:space="preserve"> eligibile</w:t>
      </w:r>
      <w:r w:rsidR="000731D1">
        <w:t xml:space="preserve"> ale proiectului</w:t>
      </w:r>
      <w:r>
        <w:t>;</w:t>
      </w:r>
    </w:p>
    <w:p w14:paraId="702D1C78" w14:textId="77777777" w:rsidR="000731D1" w:rsidRDefault="000731D1" w:rsidP="00D326A5">
      <w:pPr>
        <w:pStyle w:val="Normal1"/>
        <w:numPr>
          <w:ilvl w:val="0"/>
          <w:numId w:val="31"/>
        </w:numPr>
        <w:spacing w:before="0"/>
      </w:pPr>
      <w:r w:rsidRPr="005216E5">
        <w:t>UAT va notifi</w:t>
      </w:r>
      <w:r w:rsidR="008D350B">
        <w:t xml:space="preserve">ca </w:t>
      </w:r>
      <w:proofErr w:type="spellStart"/>
      <w:r w:rsidR="008D350B">
        <w:t>asociaţiile</w:t>
      </w:r>
      <w:proofErr w:type="spellEnd"/>
      <w:r w:rsidR="008D350B">
        <w:t xml:space="preserve"> de proprietari că</w:t>
      </w:r>
      <w:r w:rsidRPr="005216E5">
        <w:t>,</w:t>
      </w:r>
      <w:r w:rsidRPr="00636332">
        <w:t xml:space="preserve"> în </w:t>
      </w:r>
      <w:r w:rsidRPr="004A11F4">
        <w:rPr>
          <w:u w:val="single"/>
        </w:rPr>
        <w:t>perioada de implementare a proiectelor</w:t>
      </w:r>
      <w:r>
        <w:t>,</w:t>
      </w:r>
      <w:r w:rsidRPr="005216E5">
        <w:t xml:space="preserve"> în cazul în care apar modificări</w:t>
      </w:r>
      <w:r>
        <w:t xml:space="preserve"> ale tipului </w:t>
      </w:r>
      <w:r w:rsidRPr="00D326A5">
        <w:rPr>
          <w:u w:val="single"/>
        </w:rPr>
        <w:t xml:space="preserve">de proprietar/de </w:t>
      </w:r>
      <w:proofErr w:type="spellStart"/>
      <w:r w:rsidRPr="00D326A5">
        <w:rPr>
          <w:u w:val="single"/>
        </w:rPr>
        <w:t>destinaţie</w:t>
      </w:r>
      <w:proofErr w:type="spellEnd"/>
      <w:r w:rsidRPr="005216E5">
        <w:t xml:space="preserve"> a </w:t>
      </w:r>
      <w:r w:rsidR="00D326A5">
        <w:t>apartamentelor:</w:t>
      </w:r>
      <w:r w:rsidRPr="00636332">
        <w:t xml:space="preserve"> </w:t>
      </w:r>
    </w:p>
    <w:p w14:paraId="0DAA15AB" w14:textId="77777777" w:rsidR="000731D1" w:rsidRDefault="000731D1" w:rsidP="000731D1">
      <w:pPr>
        <w:pStyle w:val="Normal1"/>
        <w:numPr>
          <w:ilvl w:val="0"/>
          <w:numId w:val="28"/>
        </w:numPr>
        <w:spacing w:before="0" w:after="120"/>
        <w:ind w:left="1134"/>
      </w:pPr>
      <w:r>
        <w:t xml:space="preserve">Când apartamentul trece din </w:t>
      </w:r>
      <w:r w:rsidRPr="00D326A5">
        <w:rPr>
          <w:u w:val="single"/>
        </w:rPr>
        <w:t>proprietatea</w:t>
      </w:r>
      <w:r>
        <w:t xml:space="preserve"> unei persoane fizice în proprietatea unei persoane juridice sau instituții publice sau își schimbă </w:t>
      </w:r>
      <w:r w:rsidRPr="00D326A5">
        <w:rPr>
          <w:u w:val="single"/>
        </w:rPr>
        <w:t>destinația</w:t>
      </w:r>
      <w:r>
        <w:t xml:space="preserve"> din spațiu de</w:t>
      </w:r>
      <w:r w:rsidR="00D326A5">
        <w:t xml:space="preserve"> locuit în spațiu comercial/</w:t>
      </w:r>
      <w:r>
        <w:t>spațiu cu altă destinație, vor crește corespunzător cheltuielile neeligibile ale proiectului</w:t>
      </w:r>
      <w:r w:rsidR="002B0C73">
        <w:t xml:space="preserve">, fiind suportate de proprietar/de Asociația de Proprietari </w:t>
      </w:r>
      <w:r w:rsidR="002B0C73" w:rsidRPr="006538CE">
        <w:t>(</w:t>
      </w:r>
      <w:r w:rsidR="002B0C73" w:rsidRPr="006538CE">
        <w:rPr>
          <w:bCs/>
          <w:szCs w:val="20"/>
        </w:rPr>
        <w:t>dacă decide în acest sens)</w:t>
      </w:r>
      <w:r w:rsidRPr="006538CE">
        <w:t>;</w:t>
      </w:r>
    </w:p>
    <w:p w14:paraId="510DEE27" w14:textId="77777777" w:rsidR="000731D1" w:rsidRDefault="000731D1" w:rsidP="000731D1">
      <w:pPr>
        <w:pStyle w:val="Normal1"/>
        <w:numPr>
          <w:ilvl w:val="0"/>
          <w:numId w:val="28"/>
        </w:numPr>
        <w:spacing w:before="0" w:after="120"/>
        <w:ind w:left="1134"/>
      </w:pPr>
      <w:r>
        <w:t xml:space="preserve">Când apartamentul trece din </w:t>
      </w:r>
      <w:r w:rsidRPr="00D326A5">
        <w:rPr>
          <w:u w:val="single"/>
        </w:rPr>
        <w:t>proprietatea</w:t>
      </w:r>
      <w:r>
        <w:t xml:space="preserve"> unei persoane juridice sau instituții publice în proprietatea unei persoane fizice (având destinație de locuință) </w:t>
      </w:r>
      <w:r w:rsidR="00D326A5">
        <w:t xml:space="preserve">sau își schimbă </w:t>
      </w:r>
      <w:r w:rsidR="00D326A5" w:rsidRPr="00D326A5">
        <w:rPr>
          <w:u w:val="single"/>
        </w:rPr>
        <w:t>destinația</w:t>
      </w:r>
      <w:r w:rsidR="00D326A5">
        <w:t xml:space="preserve"> din spațiu comercial/spațiu cu altă destinație în spațiu de locuit (având proprietar persoană fizică) </w:t>
      </w:r>
      <w:r>
        <w:t>bugetul proiectului va rămâne neschimbat</w:t>
      </w:r>
      <w:r w:rsidR="00987939">
        <w:t>,</w:t>
      </w:r>
      <w:r>
        <w:t xml:space="preserve"> întrucât cheltuielile eligibile </w:t>
      </w:r>
      <w:r w:rsidR="00987939">
        <w:t xml:space="preserve">ale proiectului </w:t>
      </w:r>
      <w:r>
        <w:t>nu pot crește</w:t>
      </w:r>
      <w:r w:rsidR="00987939">
        <w:t xml:space="preserve"> după semnarea contractului</w:t>
      </w:r>
      <w:r>
        <w:t>;</w:t>
      </w:r>
    </w:p>
    <w:p w14:paraId="1E762E61" w14:textId="77777777" w:rsidR="000731D1" w:rsidRDefault="00D326A5" w:rsidP="000731D1">
      <w:pPr>
        <w:pStyle w:val="ListParagraph"/>
        <w:spacing w:before="0"/>
        <w:ind w:left="709"/>
        <w:jc w:val="both"/>
      </w:pPr>
      <w:r>
        <w:t>a</w:t>
      </w:r>
      <w:r w:rsidR="000731D1" w:rsidRPr="00636332">
        <w:t>ceste</w:t>
      </w:r>
      <w:r w:rsidR="00987939">
        <w:t xml:space="preserve"> </w:t>
      </w:r>
      <w:proofErr w:type="spellStart"/>
      <w:r w:rsidR="00987939">
        <w:t>modificari</w:t>
      </w:r>
      <w:proofErr w:type="spellEnd"/>
      <w:r w:rsidR="000731D1" w:rsidRPr="00636332">
        <w:t xml:space="preserve"> trebuie </w:t>
      </w:r>
      <w:r w:rsidR="000731D1" w:rsidRPr="00C42F9A">
        <w:t xml:space="preserve">declarate de </w:t>
      </w:r>
      <w:proofErr w:type="spellStart"/>
      <w:r w:rsidR="000731D1">
        <w:t>asociaţia</w:t>
      </w:r>
      <w:proofErr w:type="spellEnd"/>
      <w:r w:rsidR="000731D1">
        <w:t xml:space="preserve"> de proprietari</w:t>
      </w:r>
      <w:r w:rsidR="000731D1" w:rsidRPr="00C42F9A">
        <w:t>, respectiv notificate de UAT către ADR</w:t>
      </w:r>
      <w:r w:rsidR="000731D1" w:rsidRPr="005216E5">
        <w:t xml:space="preserve"> </w:t>
      </w:r>
      <w:proofErr w:type="spellStart"/>
      <w:r w:rsidR="000731D1" w:rsidRPr="005216E5">
        <w:t>şi</w:t>
      </w:r>
      <w:proofErr w:type="spellEnd"/>
      <w:r w:rsidR="000731D1" w:rsidRPr="005216E5">
        <w:t xml:space="preserve"> AMPOR</w:t>
      </w:r>
      <w:r w:rsidR="000731D1">
        <w:t>.</w:t>
      </w:r>
    </w:p>
    <w:p w14:paraId="36DDFB68" w14:textId="77777777" w:rsidR="0017777A" w:rsidRPr="000A232C" w:rsidRDefault="0075068B" w:rsidP="0075068B">
      <w:pPr>
        <w:pStyle w:val="Normal1"/>
        <w:spacing w:before="0"/>
        <w:rPr>
          <w:b/>
        </w:rPr>
      </w:pPr>
      <w:r>
        <w:rPr>
          <w:b/>
        </w:rPr>
        <w:t xml:space="preserve">2. </w:t>
      </w:r>
      <w:r w:rsidR="005216E5" w:rsidRPr="005216E5">
        <w:rPr>
          <w:b/>
        </w:rPr>
        <w:t xml:space="preserve">Apartamentele în care au fost declarate la Oficiul </w:t>
      </w:r>
      <w:proofErr w:type="spellStart"/>
      <w:r w:rsidR="005216E5" w:rsidRPr="005216E5">
        <w:rPr>
          <w:b/>
        </w:rPr>
        <w:t>Naţional</w:t>
      </w:r>
      <w:proofErr w:type="spellEnd"/>
      <w:r w:rsidR="005216E5" w:rsidRPr="005216E5">
        <w:rPr>
          <w:b/>
        </w:rPr>
        <w:t xml:space="preserve"> al Registrului </w:t>
      </w:r>
      <w:proofErr w:type="spellStart"/>
      <w:r w:rsidR="005216E5" w:rsidRPr="005216E5">
        <w:rPr>
          <w:b/>
        </w:rPr>
        <w:t>Comerţului</w:t>
      </w:r>
      <w:proofErr w:type="spellEnd"/>
      <w:r w:rsidR="005216E5" w:rsidRPr="005216E5">
        <w:rPr>
          <w:b/>
        </w:rPr>
        <w:t xml:space="preserve"> doar sedii sociale de firmă</w:t>
      </w:r>
    </w:p>
    <w:p w14:paraId="7D029926" w14:textId="77777777" w:rsidR="00C42F9A" w:rsidRPr="005216E5" w:rsidRDefault="005216E5" w:rsidP="000A232C">
      <w:pPr>
        <w:pStyle w:val="Normal1"/>
        <w:spacing w:before="0"/>
        <w:ind w:left="425"/>
      </w:pPr>
      <w:r w:rsidRPr="005216E5">
        <w:t xml:space="preserve">Apartamentele în care au fost declarate la Oficiul </w:t>
      </w:r>
      <w:proofErr w:type="spellStart"/>
      <w:r w:rsidRPr="005216E5">
        <w:t>Naţional</w:t>
      </w:r>
      <w:proofErr w:type="spellEnd"/>
      <w:r w:rsidRPr="005216E5">
        <w:t xml:space="preserve"> al Regi</w:t>
      </w:r>
      <w:r w:rsidR="00E532F9">
        <w:t xml:space="preserve">strului </w:t>
      </w:r>
      <w:proofErr w:type="spellStart"/>
      <w:r w:rsidR="00E532F9">
        <w:t>Comerţului</w:t>
      </w:r>
      <w:proofErr w:type="spellEnd"/>
      <w:r w:rsidRPr="005216E5">
        <w:t xml:space="preserve"> doar </w:t>
      </w:r>
      <w:r w:rsidRPr="0017777A">
        <w:rPr>
          <w:u w:val="single"/>
        </w:rPr>
        <w:t>sedii sociale de firmă</w:t>
      </w:r>
      <w:r w:rsidRPr="005216E5">
        <w:t xml:space="preserve">, </w:t>
      </w:r>
      <w:r w:rsidR="00564AF2">
        <w:t xml:space="preserve">cu </w:t>
      </w:r>
      <w:r w:rsidRPr="005216E5">
        <w:t>proprietari</w:t>
      </w:r>
      <w:r w:rsidR="0075068B">
        <w:t xml:space="preserve"> </w:t>
      </w:r>
      <w:r w:rsidR="00564AF2">
        <w:t>persoane fizice</w:t>
      </w:r>
      <w:r w:rsidR="0017777A">
        <w:t>,</w:t>
      </w:r>
      <w:r w:rsidRPr="005216E5">
        <w:t xml:space="preserve"> </w:t>
      </w:r>
      <w:r w:rsidR="00564AF2">
        <w:t xml:space="preserve">având </w:t>
      </w:r>
      <w:proofErr w:type="spellStart"/>
      <w:r w:rsidR="00564AF2">
        <w:t>destinaţia</w:t>
      </w:r>
      <w:proofErr w:type="spellEnd"/>
      <w:r w:rsidR="00564AF2">
        <w:t xml:space="preserve"> de </w:t>
      </w:r>
      <w:proofErr w:type="spellStart"/>
      <w:r w:rsidR="00564AF2">
        <w:t>locuinţă</w:t>
      </w:r>
      <w:proofErr w:type="spellEnd"/>
      <w:r w:rsidR="00564AF2">
        <w:t xml:space="preserve">, </w:t>
      </w:r>
      <w:r w:rsidRPr="005216E5">
        <w:t xml:space="preserve">iar firmele nu </w:t>
      </w:r>
      <w:proofErr w:type="spellStart"/>
      <w:r w:rsidRPr="005216E5">
        <w:lastRenderedPageBreak/>
        <w:t>desfăşoară</w:t>
      </w:r>
      <w:proofErr w:type="spellEnd"/>
      <w:r w:rsidRPr="005216E5">
        <w:t xml:space="preserve"> </w:t>
      </w:r>
      <w:proofErr w:type="spellStart"/>
      <w:r w:rsidRPr="005216E5">
        <w:t>activităţi</w:t>
      </w:r>
      <w:proofErr w:type="spellEnd"/>
      <w:r w:rsidRPr="005216E5">
        <w:t xml:space="preserve"> economice</w:t>
      </w:r>
      <w:r w:rsidRPr="0017777A">
        <w:t xml:space="preserve">, </w:t>
      </w:r>
      <w:r w:rsidRPr="0017777A">
        <w:rPr>
          <w:u w:val="single"/>
        </w:rPr>
        <w:t>nu se vor supune achitării integrale a cheltuielilo</w:t>
      </w:r>
      <w:r w:rsidRPr="005216E5">
        <w:t xml:space="preserve">r ce revin proprietarilor, ci proprietarii acestora vor plăti conform ratei de </w:t>
      </w:r>
      <w:proofErr w:type="spellStart"/>
      <w:r w:rsidRPr="005216E5">
        <w:t>co-finanţare</w:t>
      </w:r>
      <w:proofErr w:type="spellEnd"/>
      <w:r w:rsidR="00E532F9">
        <w:t xml:space="preserve"> stabilită</w:t>
      </w:r>
      <w:r w:rsidRPr="005216E5">
        <w:t xml:space="preserve">. </w:t>
      </w:r>
    </w:p>
    <w:p w14:paraId="67BA34DF" w14:textId="77777777" w:rsidR="005216E5" w:rsidRDefault="005216E5" w:rsidP="00C42F9A">
      <w:pPr>
        <w:pStyle w:val="Normal1"/>
        <w:spacing w:before="0" w:after="0"/>
        <w:ind w:left="426"/>
      </w:pPr>
      <w:r w:rsidRPr="005216E5">
        <w:t>În contextul celor menționate mai sus, UAT va l</w:t>
      </w:r>
      <w:r w:rsidR="00E532F9">
        <w:t>ua toate măsurile necesare (</w:t>
      </w:r>
      <w:r w:rsidRPr="005216E5">
        <w:t xml:space="preserve">de exemplu, identificarea sediilor de firmă, ca urmare a </w:t>
      </w:r>
      <w:proofErr w:type="spellStart"/>
      <w:r w:rsidRPr="005216E5">
        <w:t>informaţiilor</w:t>
      </w:r>
      <w:proofErr w:type="spellEnd"/>
      <w:r w:rsidRPr="005216E5">
        <w:t xml:space="preserve"> actualizate primite de la Oficiul </w:t>
      </w:r>
      <w:proofErr w:type="spellStart"/>
      <w:r w:rsidRPr="005216E5">
        <w:t>Naţional</w:t>
      </w:r>
      <w:proofErr w:type="spellEnd"/>
      <w:r w:rsidRPr="005216E5">
        <w:t xml:space="preserve"> al Registrului </w:t>
      </w:r>
      <w:proofErr w:type="spellStart"/>
      <w:r w:rsidRPr="005216E5">
        <w:t>Comerţului</w:t>
      </w:r>
      <w:proofErr w:type="spellEnd"/>
      <w:r w:rsidRPr="005216E5">
        <w:t xml:space="preserve">; solicitarea </w:t>
      </w:r>
      <w:proofErr w:type="spellStart"/>
      <w:r w:rsidRPr="005216E5">
        <w:t>declaraţiilor</w:t>
      </w:r>
      <w:proofErr w:type="spellEnd"/>
      <w:r w:rsidRPr="005216E5">
        <w:t xml:space="preserve"> pe propria răspundere</w:t>
      </w:r>
      <w:r w:rsidR="00F62E16">
        <w:rPr>
          <w:rStyle w:val="FootnoteReference"/>
        </w:rPr>
        <w:footnoteReference w:id="1"/>
      </w:r>
      <w:r w:rsidRPr="005216E5">
        <w:t xml:space="preserve"> a proprietarilor apartamentelor, prin care </w:t>
      </w:r>
      <w:proofErr w:type="spellStart"/>
      <w:r w:rsidRPr="005216E5">
        <w:t>aceştia</w:t>
      </w:r>
      <w:proofErr w:type="spellEnd"/>
      <w:r w:rsidRPr="005216E5">
        <w:t xml:space="preserve"> declară faptul că în apartament nu se </w:t>
      </w:r>
      <w:proofErr w:type="spellStart"/>
      <w:r w:rsidRPr="005216E5">
        <w:t>desfăşoară</w:t>
      </w:r>
      <w:proofErr w:type="spellEnd"/>
      <w:r w:rsidRPr="005216E5">
        <w:t xml:space="preserve"> nicio activitate economică </w:t>
      </w:r>
      <w:proofErr w:type="spellStart"/>
      <w:r w:rsidRPr="005216E5">
        <w:t>şi</w:t>
      </w:r>
      <w:proofErr w:type="spellEnd"/>
      <w:r w:rsidRPr="005216E5">
        <w:t xml:space="preserve"> acesta are </w:t>
      </w:r>
      <w:proofErr w:type="spellStart"/>
      <w:r w:rsidRPr="005216E5">
        <w:t>destinaţie</w:t>
      </w:r>
      <w:proofErr w:type="spellEnd"/>
      <w:r w:rsidRPr="005216E5">
        <w:t xml:space="preserve"> exclusiv de </w:t>
      </w:r>
      <w:proofErr w:type="spellStart"/>
      <w:r w:rsidRPr="005216E5">
        <w:t>locuinţă</w:t>
      </w:r>
      <w:proofErr w:type="spellEnd"/>
      <w:r w:rsidRPr="005216E5">
        <w:t xml:space="preserve">, sub </w:t>
      </w:r>
      <w:proofErr w:type="spellStart"/>
      <w:r w:rsidRPr="005216E5">
        <w:t>sancţiunile</w:t>
      </w:r>
      <w:proofErr w:type="spellEnd"/>
      <w:r w:rsidRPr="005216E5">
        <w:t xml:space="preserve"> prevăzute</w:t>
      </w:r>
      <w:r w:rsidR="00636332">
        <w:t xml:space="preserve"> de Codul Civil </w:t>
      </w:r>
      <w:proofErr w:type="spellStart"/>
      <w:r w:rsidR="00636332">
        <w:t>şi</w:t>
      </w:r>
      <w:proofErr w:type="spellEnd"/>
      <w:r w:rsidR="00636332">
        <w:t xml:space="preserve"> Codul Penal).</w:t>
      </w:r>
    </w:p>
    <w:p w14:paraId="6D8B48C5" w14:textId="77777777" w:rsidR="00775CAE" w:rsidRDefault="00775CAE" w:rsidP="005216E5">
      <w:pPr>
        <w:pStyle w:val="Normal1"/>
        <w:spacing w:before="0" w:after="0"/>
        <w:rPr>
          <w:b/>
        </w:rPr>
      </w:pPr>
    </w:p>
    <w:p w14:paraId="13738DC7" w14:textId="4B6E93BF" w:rsidR="00775CAE" w:rsidRPr="00677D11" w:rsidRDefault="0075068B" w:rsidP="00677D11">
      <w:pPr>
        <w:pStyle w:val="Normal1"/>
        <w:spacing w:before="0"/>
        <w:rPr>
          <w:b/>
        </w:rPr>
      </w:pPr>
      <w:r>
        <w:rPr>
          <w:b/>
        </w:rPr>
        <w:t xml:space="preserve">3. </w:t>
      </w:r>
      <w:r w:rsidR="00677D11" w:rsidRPr="00677D11">
        <w:t>Pentru</w:t>
      </w:r>
      <w:r w:rsidR="00677D11">
        <w:rPr>
          <w:b/>
        </w:rPr>
        <w:t xml:space="preserve"> b</w:t>
      </w:r>
      <w:r w:rsidR="003355AE">
        <w:rPr>
          <w:b/>
        </w:rPr>
        <w:t xml:space="preserve">locurile care au </w:t>
      </w:r>
      <w:proofErr w:type="spellStart"/>
      <w:r w:rsidR="005216E5" w:rsidRPr="005216E5">
        <w:rPr>
          <w:b/>
        </w:rPr>
        <w:t>şarpante</w:t>
      </w:r>
      <w:proofErr w:type="spellEnd"/>
      <w:r w:rsidR="005216E5" w:rsidRPr="005216E5">
        <w:rPr>
          <w:b/>
        </w:rPr>
        <w:t xml:space="preserve"> construite fără </w:t>
      </w:r>
      <w:proofErr w:type="spellStart"/>
      <w:r w:rsidR="005216E5" w:rsidRPr="005216E5">
        <w:rPr>
          <w:b/>
        </w:rPr>
        <w:t>autorizaţie</w:t>
      </w:r>
      <w:proofErr w:type="spellEnd"/>
      <w:r w:rsidR="00677D11">
        <w:rPr>
          <w:b/>
        </w:rPr>
        <w:t xml:space="preserve"> </w:t>
      </w:r>
      <w:r w:rsidR="005216E5" w:rsidRPr="00AB4569">
        <w:t xml:space="preserve">se poate proceda la: </w:t>
      </w:r>
    </w:p>
    <w:p w14:paraId="5312C776" w14:textId="0D6B299B" w:rsidR="00427BF6" w:rsidRDefault="00444800" w:rsidP="0075068B">
      <w:pPr>
        <w:pStyle w:val="Normal1"/>
        <w:numPr>
          <w:ilvl w:val="0"/>
          <w:numId w:val="29"/>
        </w:numPr>
        <w:spacing w:before="0" w:after="0"/>
      </w:pPr>
      <w:r>
        <w:t xml:space="preserve">neincluderea în </w:t>
      </w:r>
      <w:r w:rsidR="005216E5" w:rsidRPr="005216E5">
        <w:t xml:space="preserve">proiect a </w:t>
      </w:r>
      <w:proofErr w:type="spellStart"/>
      <w:r w:rsidR="003355AE">
        <w:t>intervenţiilor</w:t>
      </w:r>
      <w:proofErr w:type="spellEnd"/>
      <w:r w:rsidR="003355AE">
        <w:t xml:space="preserve"> la </w:t>
      </w:r>
      <w:proofErr w:type="spellStart"/>
      <w:r w:rsidR="005216E5" w:rsidRPr="006538CE">
        <w:t>şarpante</w:t>
      </w:r>
      <w:r w:rsidR="003355AE">
        <w:t>le</w:t>
      </w:r>
      <w:proofErr w:type="spellEnd"/>
      <w:r w:rsidR="005216E5" w:rsidRPr="0075068B">
        <w:t xml:space="preserve"> neautorizate</w:t>
      </w:r>
      <w:r w:rsidR="00427BF6">
        <w:t xml:space="preserve"> (</w:t>
      </w:r>
      <w:r w:rsidR="00661B8D">
        <w:t xml:space="preserve">putându-se executa lucrări de </w:t>
      </w:r>
      <w:r w:rsidR="00427BF6">
        <w:t xml:space="preserve">termoizolare a </w:t>
      </w:r>
      <w:proofErr w:type="spellStart"/>
      <w:r w:rsidR="00427BF6">
        <w:t>planşeului</w:t>
      </w:r>
      <w:proofErr w:type="spellEnd"/>
      <w:r w:rsidR="00427BF6">
        <w:t xml:space="preserve"> peste ultimul nive</w:t>
      </w:r>
      <w:r w:rsidR="00661B8D">
        <w:t>l)</w:t>
      </w:r>
      <w:r w:rsidR="00417D6B">
        <w:t>,</w:t>
      </w:r>
      <w:r w:rsidR="00417D6B" w:rsidRPr="00417D6B">
        <w:t xml:space="preserve"> </w:t>
      </w:r>
      <w:r w:rsidR="00417D6B" w:rsidRPr="005216E5">
        <w:t xml:space="preserve">cu toate </w:t>
      </w:r>
      <w:proofErr w:type="spellStart"/>
      <w:r w:rsidR="00417D6B" w:rsidRPr="005216E5">
        <w:t>implicaţiile</w:t>
      </w:r>
      <w:proofErr w:type="spellEnd"/>
      <w:r w:rsidR="00417D6B" w:rsidRPr="005216E5">
        <w:t xml:space="preserve"> de rigoare asupra </w:t>
      </w:r>
      <w:proofErr w:type="spellStart"/>
      <w:r w:rsidR="00417D6B" w:rsidRPr="005216E5">
        <w:t>documentaţiei</w:t>
      </w:r>
      <w:proofErr w:type="spellEnd"/>
      <w:r w:rsidR="00417D6B" w:rsidRPr="005216E5">
        <w:t xml:space="preserve"> elaborate </w:t>
      </w:r>
      <w:proofErr w:type="spellStart"/>
      <w:r w:rsidR="00417D6B" w:rsidRPr="005216E5">
        <w:t>şi</w:t>
      </w:r>
      <w:proofErr w:type="spellEnd"/>
      <w:r w:rsidR="00417D6B" w:rsidRPr="005216E5">
        <w:t xml:space="preserve"> asupra indicato</w:t>
      </w:r>
      <w:r w:rsidR="00417D6B">
        <w:t xml:space="preserve">rilor de </w:t>
      </w:r>
      <w:proofErr w:type="spellStart"/>
      <w:r w:rsidR="00417D6B">
        <w:t>performanţă</w:t>
      </w:r>
      <w:proofErr w:type="spellEnd"/>
      <w:r w:rsidR="00417D6B">
        <w:t xml:space="preserve"> energetică</w:t>
      </w:r>
      <w:r w:rsidR="001C6BC0">
        <w:t>;</w:t>
      </w:r>
    </w:p>
    <w:p w14:paraId="127ACE3D" w14:textId="1548DA37" w:rsidR="00417D6B" w:rsidRPr="00FD76D0" w:rsidRDefault="00661B8D" w:rsidP="00417D6B">
      <w:pPr>
        <w:ind w:left="708"/>
        <w:jc w:val="both"/>
      </w:pPr>
      <w:r w:rsidRPr="0075068B">
        <w:t xml:space="preserve">Acestea </w:t>
      </w:r>
      <w:r w:rsidR="005216E5" w:rsidRPr="0075068B">
        <w:t xml:space="preserve">vor fi tratate ca </w:t>
      </w:r>
      <w:proofErr w:type="spellStart"/>
      <w:r w:rsidR="005216E5" w:rsidRPr="0075068B">
        <w:t>şi</w:t>
      </w:r>
      <w:proofErr w:type="spellEnd"/>
      <w:r w:rsidR="005216E5" w:rsidRPr="0075068B">
        <w:t xml:space="preserve"> </w:t>
      </w:r>
      <w:proofErr w:type="spellStart"/>
      <w:r w:rsidR="005216E5" w:rsidRPr="0075068B">
        <w:t>spaţiile</w:t>
      </w:r>
      <w:proofErr w:type="spellEnd"/>
      <w:r w:rsidR="005216E5" w:rsidRPr="0075068B">
        <w:t xml:space="preserve"> comerciale</w:t>
      </w:r>
      <w:r w:rsidR="00697DD3" w:rsidRPr="0075068B">
        <w:t>/spațiile cu altă d</w:t>
      </w:r>
      <w:r w:rsidR="00427BF6" w:rsidRPr="0075068B">
        <w:t>estinație decât cea de locuință, care prin proiectarea blocului sunt prevăzute la parter</w:t>
      </w:r>
      <w:r w:rsidRPr="0075068B">
        <w:t>ul blocurilor</w:t>
      </w:r>
      <w:r w:rsidR="005216E5" w:rsidRPr="0075068B">
        <w:t xml:space="preserve">, </w:t>
      </w:r>
      <w:r w:rsidR="007E7DC8" w:rsidRPr="0075068B">
        <w:t>ai căror proprietari</w:t>
      </w:r>
      <w:r w:rsidR="00417D6B" w:rsidRPr="0075068B">
        <w:t xml:space="preserve"> nu sunt de acord cu reabilitarea termică a acestora</w:t>
      </w:r>
      <w:r w:rsidR="006538CE">
        <w:t>,</w:t>
      </w:r>
      <w:r w:rsidR="00417D6B" w:rsidRPr="0075068B">
        <w:t xml:space="preserve"> </w:t>
      </w:r>
      <w:proofErr w:type="spellStart"/>
      <w:r w:rsidR="007E7DC8" w:rsidRPr="0075068B">
        <w:t>situaţie</w:t>
      </w:r>
      <w:proofErr w:type="spellEnd"/>
      <w:r w:rsidR="007E7DC8" w:rsidRPr="0075068B">
        <w:t xml:space="preserve"> în care </w:t>
      </w:r>
      <w:r w:rsidR="00417D6B" w:rsidRPr="0075068B">
        <w:t xml:space="preserve">se poate realiza reabilitarea blocului fără </w:t>
      </w:r>
      <w:proofErr w:type="spellStart"/>
      <w:r w:rsidR="00417D6B" w:rsidRPr="0075068B">
        <w:t>spaţiile</w:t>
      </w:r>
      <w:proofErr w:type="spellEnd"/>
      <w:r w:rsidR="00417D6B" w:rsidRPr="0075068B">
        <w:t xml:space="preserve"> comer</w:t>
      </w:r>
      <w:r w:rsidR="001C6BC0">
        <w:t>ciale de la parter.</w:t>
      </w:r>
    </w:p>
    <w:p w14:paraId="0C46C1DF" w14:textId="77777777" w:rsidR="005216E5" w:rsidRDefault="001717ED" w:rsidP="00C42F9A">
      <w:pPr>
        <w:pStyle w:val="Normal1"/>
        <w:spacing w:before="0" w:after="0"/>
        <w:ind w:left="349"/>
      </w:pPr>
      <w:r w:rsidRPr="005216E5">
        <w:t>S</w:t>
      </w:r>
      <w:r w:rsidR="005216E5" w:rsidRPr="005216E5">
        <w:t>au</w:t>
      </w:r>
    </w:p>
    <w:p w14:paraId="118834F9" w14:textId="603AD53D" w:rsidR="00427BF6" w:rsidRPr="00C77673" w:rsidRDefault="00427BF6" w:rsidP="001C6BC0">
      <w:pPr>
        <w:pStyle w:val="Normal1"/>
        <w:numPr>
          <w:ilvl w:val="0"/>
          <w:numId w:val="29"/>
        </w:numPr>
        <w:spacing w:before="0" w:after="120"/>
        <w:ind w:left="714" w:hanging="357"/>
      </w:pPr>
      <w:r w:rsidRPr="00C77673">
        <w:t>includerea</w:t>
      </w:r>
      <w:r w:rsidR="003355AE">
        <w:t xml:space="preserve"> în proiect a </w:t>
      </w:r>
      <w:proofErr w:type="spellStart"/>
      <w:r w:rsidR="003355AE">
        <w:t>intervenţiilor</w:t>
      </w:r>
      <w:proofErr w:type="spellEnd"/>
      <w:r w:rsidR="003355AE">
        <w:t xml:space="preserve"> la </w:t>
      </w:r>
      <w:proofErr w:type="spellStart"/>
      <w:r w:rsidRPr="00C77673">
        <w:t>şarpante</w:t>
      </w:r>
      <w:r w:rsidR="003355AE">
        <w:t>le</w:t>
      </w:r>
      <w:proofErr w:type="spellEnd"/>
      <w:r w:rsidR="00661B8D" w:rsidRPr="00C77673">
        <w:t xml:space="preserve"> (inclusiv lucrări de termoizolare a </w:t>
      </w:r>
      <w:proofErr w:type="spellStart"/>
      <w:r w:rsidR="00661B8D" w:rsidRPr="00C77673">
        <w:t>planşeului</w:t>
      </w:r>
      <w:proofErr w:type="spellEnd"/>
      <w:r w:rsidR="00661B8D" w:rsidRPr="00C77673">
        <w:t xml:space="preserve"> peste ultimul nivel)</w:t>
      </w:r>
      <w:r w:rsidR="005216E5" w:rsidRPr="00C77673">
        <w:t xml:space="preserve">, cu </w:t>
      </w:r>
      <w:proofErr w:type="spellStart"/>
      <w:r w:rsidR="005216E5" w:rsidRPr="00C77673">
        <w:t>condiţia</w:t>
      </w:r>
      <w:proofErr w:type="spellEnd"/>
      <w:r w:rsidR="005216E5" w:rsidRPr="00C77673">
        <w:t xml:space="preserve"> intrării în legalitate a</w:t>
      </w:r>
      <w:r w:rsidR="003355AE">
        <w:rPr>
          <w:color w:val="FF0000"/>
        </w:rPr>
        <w:t xml:space="preserve"> </w:t>
      </w:r>
      <w:proofErr w:type="spellStart"/>
      <w:r w:rsidR="005216E5" w:rsidRPr="00C77673">
        <w:t>şarpantelor</w:t>
      </w:r>
      <w:proofErr w:type="spellEnd"/>
      <w:r w:rsidR="005216E5" w:rsidRPr="00C77673">
        <w:t xml:space="preserve"> neautorizate, până cel târziu</w:t>
      </w:r>
      <w:r w:rsidR="00704A17" w:rsidRPr="00C77673">
        <w:t xml:space="preserve"> la data semnării contractului de </w:t>
      </w:r>
      <w:proofErr w:type="spellStart"/>
      <w:r w:rsidR="00704A17" w:rsidRPr="00C77673">
        <w:t>finanţare</w:t>
      </w:r>
      <w:proofErr w:type="spellEnd"/>
      <w:r w:rsidR="005216E5" w:rsidRPr="00C77673">
        <w:t>,</w:t>
      </w:r>
      <w:r w:rsidR="006F7658" w:rsidRPr="00C77673">
        <w:t>.</w:t>
      </w:r>
    </w:p>
    <w:p w14:paraId="3164E756" w14:textId="450309A4" w:rsidR="005216E5" w:rsidRDefault="006F7658" w:rsidP="00427BF6">
      <w:pPr>
        <w:pStyle w:val="Normal1"/>
        <w:spacing w:before="0" w:after="0"/>
        <w:ind w:left="709"/>
      </w:pPr>
      <w:r w:rsidRPr="00C77673">
        <w:t xml:space="preserve">Se </w:t>
      </w:r>
      <w:r w:rsidR="00952DE1" w:rsidRPr="00C77673">
        <w:t>vor prezenta</w:t>
      </w:r>
      <w:r w:rsidR="001E6800" w:rsidRPr="007F2E1F">
        <w:rPr>
          <w:rStyle w:val="FootnoteReference"/>
        </w:rPr>
        <w:footnoteReference w:id="2"/>
      </w:r>
      <w:r w:rsidR="005216E5" w:rsidRPr="00C77673">
        <w:t xml:space="preserve"> Hotărârea AGAP privind demararea procesului de </w:t>
      </w:r>
      <w:r w:rsidR="005216E5" w:rsidRPr="00D41D5A">
        <w:rPr>
          <w:u w:val="single"/>
        </w:rPr>
        <w:t>intrare în legalitate</w:t>
      </w:r>
      <w:r w:rsidR="000A232C" w:rsidRPr="00C77673">
        <w:t xml:space="preserve">, precum </w:t>
      </w:r>
      <w:proofErr w:type="spellStart"/>
      <w:r w:rsidR="000A232C" w:rsidRPr="00C77673">
        <w:t>şi</w:t>
      </w:r>
      <w:proofErr w:type="spellEnd"/>
      <w:r w:rsidR="000A232C" w:rsidRPr="00C77673">
        <w:t xml:space="preserve"> o </w:t>
      </w:r>
      <w:proofErr w:type="spellStart"/>
      <w:r w:rsidR="000A232C" w:rsidRPr="00C77673">
        <w:t>declaraţie</w:t>
      </w:r>
      <w:proofErr w:type="spellEnd"/>
      <w:r w:rsidR="000A232C" w:rsidRPr="00C77673">
        <w:t xml:space="preserve"> a </w:t>
      </w:r>
      <w:r w:rsidR="00952DE1" w:rsidRPr="00C77673">
        <w:t xml:space="preserve">UAT </w:t>
      </w:r>
      <w:r w:rsidR="005216E5" w:rsidRPr="00C77673">
        <w:t xml:space="preserve">că acest proces va avea </w:t>
      </w:r>
      <w:r w:rsidR="00952DE1" w:rsidRPr="00C77673">
        <w:t xml:space="preserve">loc, în </w:t>
      </w:r>
      <w:proofErr w:type="spellStart"/>
      <w:r w:rsidR="00952DE1" w:rsidRPr="00C77673">
        <w:t>condiţiile</w:t>
      </w:r>
      <w:proofErr w:type="spellEnd"/>
      <w:r w:rsidR="00952DE1" w:rsidRPr="00C77673">
        <w:t xml:space="preserve"> legii</w:t>
      </w:r>
      <w:r w:rsidR="003355AE">
        <w:t>.</w:t>
      </w:r>
      <w:r w:rsidR="005216E5" w:rsidRPr="004B46A4">
        <w:rPr>
          <w:color w:val="FF0000"/>
        </w:rPr>
        <w:t xml:space="preserve"> </w:t>
      </w:r>
      <w:r w:rsidR="005216E5" w:rsidRPr="00C77673">
        <w:t xml:space="preserve">Cheltuielile aferente intrării în legalitate vor fi suportate de proprietari </w:t>
      </w:r>
      <w:proofErr w:type="spellStart"/>
      <w:r w:rsidR="005216E5" w:rsidRPr="00C77673">
        <w:t>şi</w:t>
      </w:r>
      <w:proofErr w:type="spellEnd"/>
      <w:r w:rsidR="005216E5" w:rsidRPr="00C77673">
        <w:t xml:space="preserve"> nu se vor include în proiect (nici în categoria </w:t>
      </w:r>
      <w:r w:rsidR="00FA3974" w:rsidRPr="00C77673">
        <w:t xml:space="preserve">cheltuielilor </w:t>
      </w:r>
      <w:r w:rsidR="005216E5" w:rsidRPr="00C77673">
        <w:t xml:space="preserve">neeligibile). </w:t>
      </w:r>
      <w:r w:rsidR="00FB05B1" w:rsidRPr="00C77673">
        <w:t xml:space="preserve">UAT va transmite </w:t>
      </w:r>
      <w:r w:rsidR="005216E5" w:rsidRPr="00C77673">
        <w:t xml:space="preserve">OI din cadrul ADR </w:t>
      </w:r>
      <w:r w:rsidR="00FB05B1" w:rsidRPr="00C77673">
        <w:t>documentele</w:t>
      </w:r>
      <w:r w:rsidR="005216E5" w:rsidRPr="00C77673">
        <w:t xml:space="preserve"> de intrare în legalitate a </w:t>
      </w:r>
      <w:proofErr w:type="spellStart"/>
      <w:r w:rsidR="005216E5" w:rsidRPr="00C77673">
        <w:t>şarpantelor</w:t>
      </w:r>
      <w:proofErr w:type="spellEnd"/>
      <w:r w:rsidR="005216E5" w:rsidRPr="00C77673">
        <w:t xml:space="preserve"> neautorizate </w:t>
      </w:r>
      <w:r w:rsidR="005216E5" w:rsidRPr="00D41D5A">
        <w:rPr>
          <w:u w:val="single"/>
        </w:rPr>
        <w:t>până cel târziu la data</w:t>
      </w:r>
      <w:r w:rsidR="00704A17" w:rsidRPr="00D41D5A">
        <w:rPr>
          <w:u w:val="single"/>
        </w:rPr>
        <w:t xml:space="preserve"> semnării contractului de </w:t>
      </w:r>
      <w:proofErr w:type="spellStart"/>
      <w:r w:rsidR="00704A17" w:rsidRPr="00D41D5A">
        <w:rPr>
          <w:u w:val="single"/>
        </w:rPr>
        <w:t>finanţare</w:t>
      </w:r>
      <w:proofErr w:type="spellEnd"/>
      <w:r w:rsidR="005216E5" w:rsidRPr="00C77673">
        <w:t>.</w:t>
      </w:r>
      <w:r w:rsidR="00D41D5A">
        <w:t xml:space="preserve"> </w:t>
      </w:r>
      <w:r w:rsidR="00D41D5A" w:rsidRPr="000C6979">
        <w:t>Semnarea contractului de finanțare va fi condiționată de prezentarea documentelor care atestă intrarea în legalitate.</w:t>
      </w:r>
    </w:p>
    <w:p w14:paraId="070B8E89" w14:textId="77777777" w:rsidR="00C42F9A" w:rsidRDefault="00C42F9A" w:rsidP="00C42F9A">
      <w:pPr>
        <w:pStyle w:val="Normal1"/>
        <w:spacing w:before="0" w:after="0"/>
        <w:ind w:left="1080"/>
      </w:pPr>
    </w:p>
    <w:p w14:paraId="6167CB66" w14:textId="3FE93CD8" w:rsidR="00AB4569" w:rsidRPr="001717ED" w:rsidRDefault="0075068B" w:rsidP="0075068B">
      <w:pPr>
        <w:pStyle w:val="Normal1"/>
        <w:spacing w:before="0"/>
        <w:rPr>
          <w:b/>
        </w:rPr>
      </w:pPr>
      <w:r>
        <w:rPr>
          <w:b/>
        </w:rPr>
        <w:t>4</w:t>
      </w:r>
      <w:r w:rsidRPr="00C77673">
        <w:rPr>
          <w:b/>
        </w:rPr>
        <w:t xml:space="preserve">. </w:t>
      </w:r>
      <w:r w:rsidR="000A232C" w:rsidRPr="00C77673">
        <w:rPr>
          <w:b/>
        </w:rPr>
        <w:t xml:space="preserve">Blocurile </w:t>
      </w:r>
      <w:r w:rsidR="005216E5" w:rsidRPr="00C77673">
        <w:rPr>
          <w:b/>
        </w:rPr>
        <w:t xml:space="preserve">care au </w:t>
      </w:r>
      <w:proofErr w:type="spellStart"/>
      <w:r w:rsidR="005216E5" w:rsidRPr="00C77673">
        <w:rPr>
          <w:b/>
        </w:rPr>
        <w:t>părţi</w:t>
      </w:r>
      <w:proofErr w:type="spellEnd"/>
      <w:r w:rsidR="005216E5" w:rsidRPr="00C77673">
        <w:rPr>
          <w:b/>
        </w:rPr>
        <w:t xml:space="preserve"> dintr-o scară de bloc deja reabilitate</w:t>
      </w:r>
      <w:r w:rsidR="003A6029" w:rsidRPr="00C77673">
        <w:rPr>
          <w:b/>
        </w:rPr>
        <w:t xml:space="preserve"> </w:t>
      </w:r>
      <w:r w:rsidR="00677D11" w:rsidRPr="00C77673">
        <w:t xml:space="preserve">(de exemplu, doar prin izolarea termică a </w:t>
      </w:r>
      <w:proofErr w:type="spellStart"/>
      <w:r w:rsidR="00677D11" w:rsidRPr="00C77673">
        <w:t>părţii</w:t>
      </w:r>
      <w:proofErr w:type="spellEnd"/>
      <w:r w:rsidR="00677D11" w:rsidRPr="00C77673">
        <w:t xml:space="preserve"> opace a </w:t>
      </w:r>
      <w:proofErr w:type="spellStart"/>
      <w:r w:rsidR="00677D11" w:rsidRPr="00C77673">
        <w:t>faţadelor</w:t>
      </w:r>
      <w:proofErr w:type="spellEnd"/>
      <w:r w:rsidR="004B46A4">
        <w:t>)</w:t>
      </w:r>
      <w:r w:rsidR="003A6029">
        <w:rPr>
          <w:b/>
        </w:rPr>
        <w:t>–</w:t>
      </w:r>
      <w:r w:rsidR="003A6029" w:rsidRPr="003A6029">
        <w:t xml:space="preserve"> </w:t>
      </w:r>
      <w:proofErr w:type="spellStart"/>
      <w:r w:rsidR="003A6029" w:rsidRPr="003A6029">
        <w:t>situaţii</w:t>
      </w:r>
      <w:proofErr w:type="spellEnd"/>
      <w:r w:rsidR="003A6029">
        <w:rPr>
          <w:lang w:val="en-US"/>
        </w:rPr>
        <w:t>:</w:t>
      </w:r>
    </w:p>
    <w:p w14:paraId="65F2F9A5" w14:textId="77777777" w:rsidR="00677D11" w:rsidRPr="00677D11" w:rsidRDefault="00952DE1" w:rsidP="00677D11">
      <w:pPr>
        <w:pStyle w:val="Normal1"/>
        <w:numPr>
          <w:ilvl w:val="0"/>
          <w:numId w:val="29"/>
        </w:numPr>
        <w:spacing w:before="0" w:after="120"/>
        <w:rPr>
          <w:u w:val="single"/>
        </w:rPr>
      </w:pPr>
      <w:r>
        <w:rPr>
          <w:u w:val="single"/>
        </w:rPr>
        <w:t>cu</w:t>
      </w:r>
      <w:r w:rsidR="005216E5" w:rsidRPr="00B96007">
        <w:rPr>
          <w:u w:val="single"/>
        </w:rPr>
        <w:t xml:space="preserve"> </w:t>
      </w:r>
      <w:proofErr w:type="spellStart"/>
      <w:r w:rsidR="005216E5" w:rsidRPr="00B96007">
        <w:rPr>
          <w:u w:val="single"/>
        </w:rPr>
        <w:t>autorizaţie</w:t>
      </w:r>
      <w:proofErr w:type="spellEnd"/>
      <w:r w:rsidR="005216E5" w:rsidRPr="00B96007">
        <w:rPr>
          <w:u w:val="single"/>
        </w:rPr>
        <w:t xml:space="preserve"> de construire</w:t>
      </w:r>
      <w:r w:rsidRPr="00F16FAA">
        <w:t xml:space="preserve"> </w:t>
      </w:r>
    </w:p>
    <w:p w14:paraId="356016DE" w14:textId="77777777" w:rsidR="0075068B" w:rsidRDefault="001717ED" w:rsidP="00677D11">
      <w:pPr>
        <w:pStyle w:val="Normal1"/>
        <w:spacing w:before="0" w:after="120"/>
        <w:ind w:left="360"/>
        <w:rPr>
          <w:u w:val="single"/>
        </w:rPr>
      </w:pPr>
      <w:r>
        <w:t>sau</w:t>
      </w:r>
    </w:p>
    <w:p w14:paraId="425A1A04" w14:textId="77777777" w:rsidR="001717ED" w:rsidRPr="0075068B" w:rsidRDefault="001717ED" w:rsidP="00677D11">
      <w:pPr>
        <w:pStyle w:val="Normal1"/>
        <w:numPr>
          <w:ilvl w:val="0"/>
          <w:numId w:val="29"/>
        </w:numPr>
        <w:spacing w:before="0" w:after="120"/>
        <w:rPr>
          <w:u w:val="single"/>
        </w:rPr>
      </w:pPr>
      <w:r w:rsidRPr="0075068B">
        <w:rPr>
          <w:u w:val="single"/>
        </w:rPr>
        <w:t xml:space="preserve">fără </w:t>
      </w:r>
      <w:proofErr w:type="spellStart"/>
      <w:r w:rsidRPr="0075068B">
        <w:rPr>
          <w:u w:val="single"/>
        </w:rPr>
        <w:t>autorizaţie</w:t>
      </w:r>
      <w:proofErr w:type="spellEnd"/>
      <w:r w:rsidRPr="0075068B">
        <w:rPr>
          <w:u w:val="single"/>
        </w:rPr>
        <w:t xml:space="preserve"> de construire,</w:t>
      </w:r>
      <w:r w:rsidRPr="005216E5">
        <w:t xml:space="preserve"> </w:t>
      </w:r>
      <w:r>
        <w:t>însă</w:t>
      </w:r>
      <w:r w:rsidRPr="005216E5">
        <w:t xml:space="preserve"> lucrările respective </w:t>
      </w:r>
      <w:r w:rsidRPr="001717ED">
        <w:t>s</w:t>
      </w:r>
      <w:r w:rsidRPr="0075068B">
        <w:rPr>
          <w:u w:val="single"/>
        </w:rPr>
        <w:t>unt conforme cu soluția tehnică</w:t>
      </w:r>
      <w:r w:rsidRPr="001717ED">
        <w:t xml:space="preserve"> a proiectului (în acest sens existând </w:t>
      </w:r>
      <w:r w:rsidRPr="0075068B">
        <w:rPr>
          <w:u w:val="single"/>
        </w:rPr>
        <w:t>avizul proiectantului</w:t>
      </w:r>
      <w:r w:rsidRPr="005216E5">
        <w:t xml:space="preserve"> care a pregătit </w:t>
      </w:r>
      <w:proofErr w:type="spellStart"/>
      <w:r w:rsidRPr="005216E5">
        <w:t>documentaţia</w:t>
      </w:r>
      <w:proofErr w:type="spellEnd"/>
      <w:r w:rsidRPr="005216E5">
        <w:t xml:space="preserve"> tehnică în vederea solicitării de </w:t>
      </w:r>
      <w:proofErr w:type="spellStart"/>
      <w:r w:rsidRPr="005216E5">
        <w:t>finanţare</w:t>
      </w:r>
      <w:proofErr w:type="spellEnd"/>
      <w:r w:rsidRPr="005216E5">
        <w:t xml:space="preserve"> prin PI 3.1 A, POR 2014-2020</w:t>
      </w:r>
      <w:r>
        <w:rPr>
          <w:rStyle w:val="FootnoteReference"/>
        </w:rPr>
        <w:footnoteReference w:id="3"/>
      </w:r>
      <w:r>
        <w:t>)</w:t>
      </w:r>
      <w:r w:rsidRPr="005216E5">
        <w:t>,</w:t>
      </w:r>
    </w:p>
    <w:p w14:paraId="15A4DD5A" w14:textId="3E23DFE8" w:rsidR="00F16FAA" w:rsidRPr="00F16FAA" w:rsidRDefault="00952DE1" w:rsidP="001C6BC0">
      <w:pPr>
        <w:pStyle w:val="Normal1"/>
        <w:spacing w:before="0" w:after="120"/>
        <w:ind w:left="426"/>
        <w:rPr>
          <w:u w:val="single"/>
        </w:rPr>
      </w:pPr>
      <w:r w:rsidRPr="005216E5">
        <w:t xml:space="preserve">se poate continua procesul de </w:t>
      </w:r>
      <w:r w:rsidR="00873ADC">
        <w:t xml:space="preserve">pregătire, </w:t>
      </w:r>
      <w:r>
        <w:t xml:space="preserve">evaluare </w:t>
      </w:r>
      <w:proofErr w:type="spellStart"/>
      <w:r>
        <w:t>şi</w:t>
      </w:r>
      <w:proofErr w:type="spellEnd"/>
      <w:r>
        <w:t xml:space="preserve"> </w:t>
      </w:r>
      <w:proofErr w:type="spellStart"/>
      <w:r w:rsidRPr="005216E5">
        <w:t>selecţie</w:t>
      </w:r>
      <w:proofErr w:type="spellEnd"/>
      <w:r>
        <w:t>,</w:t>
      </w:r>
      <w:r w:rsidRPr="005216E5">
        <w:t xml:space="preserve"> dacă în proiectul propus spre </w:t>
      </w:r>
      <w:proofErr w:type="spellStart"/>
      <w:r w:rsidRPr="005216E5">
        <w:t>finanţare</w:t>
      </w:r>
      <w:proofErr w:type="spellEnd"/>
      <w:r w:rsidRPr="005216E5">
        <w:t xml:space="preserve"> au fost incluse</w:t>
      </w:r>
      <w:r>
        <w:t xml:space="preserve"> </w:t>
      </w:r>
      <w:proofErr w:type="spellStart"/>
      <w:r>
        <w:t>şi</w:t>
      </w:r>
      <w:proofErr w:type="spellEnd"/>
      <w:r>
        <w:t xml:space="preserve"> alte </w:t>
      </w:r>
      <w:r w:rsidRPr="0075068B">
        <w:t xml:space="preserve">lucrări </w:t>
      </w:r>
      <w:r w:rsidR="00873ADC" w:rsidRPr="0075068B">
        <w:t xml:space="preserve">complementare </w:t>
      </w:r>
      <w:r w:rsidRPr="0075068B">
        <w:t xml:space="preserve">de </w:t>
      </w:r>
      <w:proofErr w:type="spellStart"/>
      <w:r w:rsidR="00C35570" w:rsidRPr="00C35570">
        <w:t>creştere</w:t>
      </w:r>
      <w:proofErr w:type="spellEnd"/>
      <w:r w:rsidR="00C35570" w:rsidRPr="00C35570">
        <w:t xml:space="preserve"> a </w:t>
      </w:r>
      <w:proofErr w:type="spellStart"/>
      <w:r w:rsidR="00C35570" w:rsidRPr="00C35570">
        <w:t>eficienţei</w:t>
      </w:r>
      <w:proofErr w:type="spellEnd"/>
      <w:r w:rsidR="00C35570" w:rsidRPr="00C35570">
        <w:t xml:space="preserve"> energetice</w:t>
      </w:r>
      <w:r w:rsidRPr="0075068B">
        <w:t>,</w:t>
      </w:r>
      <w:r w:rsidRPr="005216E5">
        <w:t xml:space="preserve"> conform Ghidului S</w:t>
      </w:r>
      <w:r>
        <w:t>pecific</w:t>
      </w:r>
      <w:r w:rsidRPr="005216E5">
        <w:t xml:space="preserve"> (de exemplu, înlocuirea tâmplăriei exterioare, izolarea termică a</w:t>
      </w:r>
      <w:r>
        <w:t xml:space="preserve"> </w:t>
      </w:r>
      <w:proofErr w:type="spellStart"/>
      <w:r>
        <w:t>planşeului</w:t>
      </w:r>
      <w:proofErr w:type="spellEnd"/>
      <w:r>
        <w:t xml:space="preserve"> peste subsol, etc.)</w:t>
      </w:r>
      <w:r w:rsidR="00677D11">
        <w:t>.</w:t>
      </w:r>
    </w:p>
    <w:p w14:paraId="70CC8DA0" w14:textId="77777777" w:rsidR="00952DE1" w:rsidRDefault="00952DE1" w:rsidP="00C35570">
      <w:pPr>
        <w:pStyle w:val="Normal1"/>
        <w:spacing w:before="0" w:after="120"/>
        <w:ind w:left="426"/>
      </w:pPr>
      <w:r>
        <w:t>C</w:t>
      </w:r>
      <w:r w:rsidR="00677D11">
        <w:t>osturile</w:t>
      </w:r>
      <w:r w:rsidRPr="00B96007">
        <w:t xml:space="preserve"> aferente ac</w:t>
      </w:r>
      <w:r>
        <w:t>elor</w:t>
      </w:r>
      <w:r w:rsidRPr="00B96007">
        <w:t xml:space="preserve"> lucrări </w:t>
      </w:r>
      <w:r>
        <w:t xml:space="preserve">se identifică </w:t>
      </w:r>
      <w:proofErr w:type="spellStart"/>
      <w:r>
        <w:t>şi</w:t>
      </w:r>
      <w:proofErr w:type="spellEnd"/>
      <w:r>
        <w:t xml:space="preserve"> se elimină din devizul proiectului, </w:t>
      </w:r>
      <w:proofErr w:type="spellStart"/>
      <w:r>
        <w:t>contribuţia</w:t>
      </w:r>
      <w:proofErr w:type="spellEnd"/>
      <w:r>
        <w:t xml:space="preserve"> proprietarilor respectivi fiind diminuată cu suma reprezentând valoarea pe care ar fi trebuit să o acopere proprietarul dacă ar fi fost executată lucrarea respectivă prin proiect</w:t>
      </w:r>
      <w:r w:rsidR="00F16FAA">
        <w:t>.</w:t>
      </w:r>
      <w:r w:rsidRPr="005216E5">
        <w:t xml:space="preserve"> </w:t>
      </w:r>
    </w:p>
    <w:p w14:paraId="72621B59" w14:textId="77777777" w:rsidR="00AC71A3" w:rsidRDefault="0075068B" w:rsidP="00C35570">
      <w:pPr>
        <w:pStyle w:val="Normal1"/>
        <w:spacing w:before="0" w:after="0"/>
        <w:ind w:left="426"/>
      </w:pPr>
      <w:r>
        <w:t>D</w:t>
      </w:r>
      <w:r w:rsidR="00AC71A3">
        <w:t>eclarația asumată de proiectant va menționa:</w:t>
      </w:r>
    </w:p>
    <w:p w14:paraId="38C018A6" w14:textId="77777777" w:rsidR="00AC71A3" w:rsidRDefault="00AC71A3" w:rsidP="00C35570">
      <w:pPr>
        <w:pStyle w:val="Normal1"/>
        <w:numPr>
          <w:ilvl w:val="0"/>
          <w:numId w:val="22"/>
        </w:numPr>
        <w:spacing w:before="0" w:after="0"/>
        <w:ind w:left="709"/>
      </w:pPr>
      <w:r>
        <w:lastRenderedPageBreak/>
        <w:t xml:space="preserve">toate tipurile de lucrări executate anterior (inclusiv localizarea acestora); </w:t>
      </w:r>
    </w:p>
    <w:p w14:paraId="3C7E60C3" w14:textId="77777777" w:rsidR="00AC71A3" w:rsidRDefault="00AC71A3" w:rsidP="00C35570">
      <w:pPr>
        <w:pStyle w:val="Normal1"/>
        <w:numPr>
          <w:ilvl w:val="0"/>
          <w:numId w:val="22"/>
        </w:numPr>
        <w:spacing w:before="0" w:after="0"/>
        <w:ind w:left="709"/>
      </w:pPr>
      <w:r>
        <w:t>conformitatea acestora cu soluția tehnică a proiectului propus;</w:t>
      </w:r>
    </w:p>
    <w:p w14:paraId="5752E51E" w14:textId="77777777" w:rsidR="00AC71A3" w:rsidRDefault="00AC71A3" w:rsidP="00C35570">
      <w:pPr>
        <w:pStyle w:val="Normal1"/>
        <w:numPr>
          <w:ilvl w:val="0"/>
          <w:numId w:val="22"/>
        </w:numPr>
        <w:spacing w:before="0" w:after="0"/>
        <w:ind w:left="709"/>
      </w:pPr>
      <w:r w:rsidRPr="0075068B">
        <w:t xml:space="preserve">includerea în proiectul propus doar a măsurilor complementare </w:t>
      </w:r>
      <w:r w:rsidR="00873ADC" w:rsidRPr="0075068B">
        <w:t xml:space="preserve">de </w:t>
      </w:r>
      <w:r w:rsidRPr="0075068B">
        <w:t>creștere a eficienței energetice în zonele care prezintă lucrări executate anterior.</w:t>
      </w:r>
    </w:p>
    <w:p w14:paraId="222C864B" w14:textId="77777777" w:rsidR="009236D0" w:rsidRDefault="00515E5E" w:rsidP="00C42F9A">
      <w:pPr>
        <w:pStyle w:val="Normal1"/>
        <w:spacing w:before="0" w:after="0"/>
        <w:ind w:left="349"/>
      </w:pPr>
      <w:r>
        <w:t>Sau</w:t>
      </w:r>
    </w:p>
    <w:p w14:paraId="2128AF48" w14:textId="77777777" w:rsidR="00873ADC" w:rsidRDefault="009236D0" w:rsidP="00677D11">
      <w:pPr>
        <w:pStyle w:val="Normal1"/>
        <w:numPr>
          <w:ilvl w:val="0"/>
          <w:numId w:val="29"/>
        </w:numPr>
        <w:spacing w:before="120" w:after="0"/>
      </w:pPr>
      <w:r w:rsidRPr="00B96007">
        <w:rPr>
          <w:u w:val="single"/>
        </w:rPr>
        <w:t xml:space="preserve">fără </w:t>
      </w:r>
      <w:proofErr w:type="spellStart"/>
      <w:r w:rsidRPr="00B96007">
        <w:rPr>
          <w:u w:val="single"/>
        </w:rPr>
        <w:t>autorizaţie</w:t>
      </w:r>
      <w:proofErr w:type="spellEnd"/>
      <w:r w:rsidRPr="00B96007">
        <w:rPr>
          <w:u w:val="single"/>
        </w:rPr>
        <w:t xml:space="preserve"> de construire</w:t>
      </w:r>
      <w:r w:rsidR="006F7658">
        <w:t>,</w:t>
      </w:r>
      <w:r w:rsidRPr="00B96007">
        <w:t xml:space="preserve"> care </w:t>
      </w:r>
      <w:r w:rsidR="006F7658" w:rsidRPr="00873ADC">
        <w:rPr>
          <w:u w:val="single"/>
        </w:rPr>
        <w:t>nu sunt</w:t>
      </w:r>
      <w:r w:rsidRPr="00873ADC">
        <w:rPr>
          <w:u w:val="single"/>
        </w:rPr>
        <w:t xml:space="preserve"> conform</w:t>
      </w:r>
      <w:r w:rsidR="006F7658" w:rsidRPr="00873ADC">
        <w:rPr>
          <w:u w:val="single"/>
        </w:rPr>
        <w:t>e</w:t>
      </w:r>
      <w:r w:rsidRPr="00873ADC">
        <w:rPr>
          <w:u w:val="single"/>
        </w:rPr>
        <w:t xml:space="preserve"> </w:t>
      </w:r>
      <w:r w:rsidR="006F7658" w:rsidRPr="00873ADC">
        <w:rPr>
          <w:u w:val="single"/>
        </w:rPr>
        <w:t xml:space="preserve">cu soluția tehnică </w:t>
      </w:r>
      <w:r w:rsidR="006F7658" w:rsidRPr="00873ADC">
        <w:t>a proiectului</w:t>
      </w:r>
      <w:r w:rsidRPr="00873ADC">
        <w:t xml:space="preserve"> </w:t>
      </w:r>
      <w:r w:rsidRPr="00B96007">
        <w:t xml:space="preserve">(conform </w:t>
      </w:r>
      <w:proofErr w:type="spellStart"/>
      <w:r w:rsidRPr="00873ADC">
        <w:rPr>
          <w:u w:val="single"/>
        </w:rPr>
        <w:t>declaraţiei</w:t>
      </w:r>
      <w:proofErr w:type="spellEnd"/>
      <w:r w:rsidRPr="00873ADC">
        <w:rPr>
          <w:u w:val="single"/>
        </w:rPr>
        <w:t xml:space="preserve"> proiectantului</w:t>
      </w:r>
      <w:r w:rsidR="00AC71A3">
        <w:rPr>
          <w:rStyle w:val="FootnoteReference"/>
        </w:rPr>
        <w:footnoteReference w:id="4"/>
      </w:r>
      <w:r w:rsidRPr="00B96007">
        <w:t xml:space="preserve">) </w:t>
      </w:r>
      <w:proofErr w:type="spellStart"/>
      <w:r w:rsidRPr="00B96007">
        <w:t>şi</w:t>
      </w:r>
      <w:proofErr w:type="spellEnd"/>
      <w:r w:rsidRPr="00B96007">
        <w:t xml:space="preserve"> care urmează a fi înlocuit</w:t>
      </w:r>
      <w:r w:rsidR="003A6029">
        <w:t>e</w:t>
      </w:r>
      <w:r w:rsidRPr="00B96007">
        <w:t xml:space="preserve">, </w:t>
      </w:r>
    </w:p>
    <w:p w14:paraId="30D9344D" w14:textId="6291CA48" w:rsidR="00873ADC" w:rsidRPr="004B46A4" w:rsidRDefault="006F7658" w:rsidP="00873ADC">
      <w:pPr>
        <w:pStyle w:val="Normal1"/>
        <w:spacing w:before="120" w:after="0"/>
        <w:ind w:left="708"/>
      </w:pPr>
      <w:r>
        <w:t xml:space="preserve">se poate </w:t>
      </w:r>
      <w:r w:rsidRPr="004B46A4">
        <w:t xml:space="preserve">continua procesul de pregătire, evaluare </w:t>
      </w:r>
      <w:proofErr w:type="spellStart"/>
      <w:r w:rsidRPr="004B46A4">
        <w:t>şi</w:t>
      </w:r>
      <w:proofErr w:type="spellEnd"/>
      <w:r w:rsidRPr="004B46A4">
        <w:t xml:space="preserve"> </w:t>
      </w:r>
      <w:proofErr w:type="spellStart"/>
      <w:r w:rsidRPr="004B46A4">
        <w:t>selecţie</w:t>
      </w:r>
      <w:proofErr w:type="spellEnd"/>
      <w:r w:rsidRPr="004B46A4">
        <w:t xml:space="preserve">, cu </w:t>
      </w:r>
      <w:proofErr w:type="spellStart"/>
      <w:r w:rsidRPr="004B46A4">
        <w:t>condiţia</w:t>
      </w:r>
      <w:proofErr w:type="spellEnd"/>
      <w:r w:rsidRPr="004B46A4">
        <w:t xml:space="preserve"> demolării lucrărilor în discuție, până cel târziu la data</w:t>
      </w:r>
      <w:r w:rsidR="006538CE" w:rsidRPr="004B46A4">
        <w:t xml:space="preserve"> </w:t>
      </w:r>
      <w:r w:rsidR="00D44DE0" w:rsidRPr="004B46A4">
        <w:t xml:space="preserve">începerii lucrărilor de </w:t>
      </w:r>
      <w:proofErr w:type="spellStart"/>
      <w:r w:rsidR="00D44DE0" w:rsidRPr="004B46A4">
        <w:t>execuţie</w:t>
      </w:r>
      <w:proofErr w:type="spellEnd"/>
      <w:r w:rsidR="00D44DE0" w:rsidRPr="004B46A4">
        <w:t xml:space="preserve">, sub rezerva retragerii </w:t>
      </w:r>
      <w:proofErr w:type="spellStart"/>
      <w:r w:rsidR="00D44DE0" w:rsidRPr="004B46A4">
        <w:t>finanţării</w:t>
      </w:r>
      <w:proofErr w:type="spellEnd"/>
      <w:r w:rsidR="00D44DE0" w:rsidRPr="004B46A4">
        <w:t xml:space="preserve"> acordate în caz contrar.</w:t>
      </w:r>
    </w:p>
    <w:p w14:paraId="17B82AF8" w14:textId="77C84046" w:rsidR="009236D0" w:rsidRPr="004B46A4" w:rsidRDefault="006F7658" w:rsidP="00873ADC">
      <w:pPr>
        <w:pStyle w:val="Normal1"/>
        <w:spacing w:before="120" w:after="0"/>
        <w:ind w:left="708"/>
      </w:pPr>
      <w:r w:rsidRPr="004B46A4">
        <w:t>Se vor prezenta</w:t>
      </w:r>
      <w:r w:rsidR="001E6800" w:rsidRPr="004B46A4">
        <w:rPr>
          <w:rStyle w:val="FootnoteReference"/>
        </w:rPr>
        <w:footnoteReference w:id="5"/>
      </w:r>
      <w:r w:rsidR="00FB05B1" w:rsidRPr="004B46A4">
        <w:t>,</w:t>
      </w:r>
      <w:r w:rsidRPr="004B46A4">
        <w:t xml:space="preserve"> </w:t>
      </w:r>
      <w:proofErr w:type="spellStart"/>
      <w:r w:rsidR="009236D0" w:rsidRPr="004B46A4">
        <w:t>declaraţii</w:t>
      </w:r>
      <w:r w:rsidR="00FB05B1" w:rsidRPr="004B46A4">
        <w:t>le</w:t>
      </w:r>
      <w:proofErr w:type="spellEnd"/>
      <w:r w:rsidR="009236D0" w:rsidRPr="004B46A4">
        <w:t xml:space="preserve"> pe proprie răspundere ale proprietarilor privind demararea procesului de demolare, precum </w:t>
      </w:r>
      <w:proofErr w:type="spellStart"/>
      <w:r w:rsidR="009236D0" w:rsidRPr="004B46A4">
        <w:t>şi</w:t>
      </w:r>
      <w:proofErr w:type="spellEnd"/>
      <w:r w:rsidR="009236D0" w:rsidRPr="004B46A4">
        <w:t xml:space="preserve"> o </w:t>
      </w:r>
      <w:proofErr w:type="spellStart"/>
      <w:r w:rsidR="009236D0" w:rsidRPr="004B46A4">
        <w:t>declaraţie</w:t>
      </w:r>
      <w:proofErr w:type="spellEnd"/>
      <w:r w:rsidR="009236D0" w:rsidRPr="004B46A4">
        <w:t xml:space="preserve"> a </w:t>
      </w:r>
      <w:r w:rsidR="002A34DF" w:rsidRPr="004B46A4">
        <w:t>UAT</w:t>
      </w:r>
      <w:r w:rsidR="009236D0" w:rsidRPr="004B46A4">
        <w:t xml:space="preserve"> că acest proces va avea </w:t>
      </w:r>
      <w:r w:rsidR="00FA3974" w:rsidRPr="004B46A4">
        <w:t xml:space="preserve">loc, în </w:t>
      </w:r>
      <w:proofErr w:type="spellStart"/>
      <w:r w:rsidR="00FA3974" w:rsidRPr="004B46A4">
        <w:t>condiţiile</w:t>
      </w:r>
      <w:proofErr w:type="spellEnd"/>
      <w:r w:rsidR="00FA3974" w:rsidRPr="004B46A4">
        <w:t xml:space="preserve"> legii; aceste</w:t>
      </w:r>
      <w:r w:rsidR="009236D0" w:rsidRPr="004B46A4">
        <w:t xml:space="preserve"> documente vor fi anexe la contractul de </w:t>
      </w:r>
      <w:proofErr w:type="spellStart"/>
      <w:r w:rsidR="009236D0" w:rsidRPr="004B46A4">
        <w:t>finanţare</w:t>
      </w:r>
      <w:proofErr w:type="spellEnd"/>
      <w:r w:rsidR="009236D0" w:rsidRPr="004B46A4">
        <w:t xml:space="preserve">. Cheltuielile aferente demolării vor fi suportate de proprietari </w:t>
      </w:r>
      <w:proofErr w:type="spellStart"/>
      <w:r w:rsidR="009236D0" w:rsidRPr="004B46A4">
        <w:t>şi</w:t>
      </w:r>
      <w:proofErr w:type="spellEnd"/>
      <w:r w:rsidR="009236D0" w:rsidRPr="004B46A4">
        <w:t xml:space="preserve"> nu se vor include în proiect (nici în categoria </w:t>
      </w:r>
      <w:r w:rsidR="00FB05B1" w:rsidRPr="004B46A4">
        <w:t xml:space="preserve">cheltuielilor </w:t>
      </w:r>
      <w:r w:rsidR="009236D0" w:rsidRPr="004B46A4">
        <w:t xml:space="preserve">neeligibile). </w:t>
      </w:r>
      <w:r w:rsidR="00FB05B1" w:rsidRPr="004B46A4">
        <w:t xml:space="preserve">UAT va verifica și va notifica </w:t>
      </w:r>
      <w:r w:rsidR="009236D0" w:rsidRPr="004B46A4">
        <w:t xml:space="preserve">OI din cadrul ADR </w:t>
      </w:r>
      <w:r w:rsidR="00FB05B1" w:rsidRPr="004B46A4">
        <w:t>în legătură cu finalizarea lucrărilor</w:t>
      </w:r>
      <w:r w:rsidR="009236D0" w:rsidRPr="004B46A4">
        <w:t xml:space="preserve"> de demolare până cel târziu la data</w:t>
      </w:r>
      <w:r w:rsidR="00D44DE0" w:rsidRPr="004B46A4">
        <w:t xml:space="preserve"> începerii lucrărilor de </w:t>
      </w:r>
      <w:proofErr w:type="spellStart"/>
      <w:r w:rsidR="00D44DE0" w:rsidRPr="004B46A4">
        <w:t>execuţie</w:t>
      </w:r>
      <w:proofErr w:type="spellEnd"/>
      <w:r w:rsidR="00D44DE0" w:rsidRPr="004B46A4">
        <w:t>.</w:t>
      </w:r>
    </w:p>
    <w:p w14:paraId="0F551A07" w14:textId="77777777" w:rsidR="00AC71A3" w:rsidRPr="004B46A4" w:rsidRDefault="00AC71A3" w:rsidP="00AC71A3">
      <w:pPr>
        <w:pStyle w:val="Normal1"/>
        <w:spacing w:before="0" w:after="0"/>
        <w:ind w:left="349"/>
      </w:pPr>
    </w:p>
    <w:p w14:paraId="4ED43F48" w14:textId="77777777" w:rsidR="00AC71A3" w:rsidRPr="004B46A4" w:rsidRDefault="00AC71A3" w:rsidP="00677D11">
      <w:pPr>
        <w:pStyle w:val="Normal1"/>
        <w:spacing w:before="0" w:after="0"/>
        <w:ind w:left="709"/>
      </w:pPr>
      <w:r w:rsidRPr="004B46A4">
        <w:t>În acest caz declarația asumată de proiectant va menționa:</w:t>
      </w:r>
    </w:p>
    <w:p w14:paraId="3F8C8499" w14:textId="77777777" w:rsidR="00AC71A3" w:rsidRPr="004B46A4" w:rsidRDefault="00AC71A3" w:rsidP="002A34DF">
      <w:pPr>
        <w:pStyle w:val="Normal1"/>
        <w:numPr>
          <w:ilvl w:val="0"/>
          <w:numId w:val="22"/>
        </w:numPr>
        <w:spacing w:before="0" w:after="0"/>
      </w:pPr>
      <w:r w:rsidRPr="004B46A4">
        <w:t xml:space="preserve">toate tipurile de lucrări executate anterior (inclusiv localizarea acestora); </w:t>
      </w:r>
    </w:p>
    <w:p w14:paraId="0CC7BA73" w14:textId="77777777" w:rsidR="00AC71A3" w:rsidRPr="004B46A4" w:rsidRDefault="00AC71A3" w:rsidP="002A34DF">
      <w:pPr>
        <w:pStyle w:val="Normal1"/>
        <w:numPr>
          <w:ilvl w:val="0"/>
          <w:numId w:val="22"/>
        </w:numPr>
        <w:spacing w:before="0" w:after="0"/>
      </w:pPr>
      <w:r w:rsidRPr="004B46A4">
        <w:t xml:space="preserve">neconformitatea acestora cu soluția tehnică a proiectului propus și necesitatea </w:t>
      </w:r>
      <w:proofErr w:type="spellStart"/>
      <w:r w:rsidRPr="004B46A4">
        <w:t>demolarii</w:t>
      </w:r>
      <w:proofErr w:type="spellEnd"/>
      <w:r w:rsidRPr="004B46A4">
        <w:t xml:space="preserve"> acestora;</w:t>
      </w:r>
    </w:p>
    <w:p w14:paraId="65489196" w14:textId="77777777" w:rsidR="00AC71A3" w:rsidRPr="004B46A4" w:rsidRDefault="00AC71A3" w:rsidP="002A34DF">
      <w:pPr>
        <w:pStyle w:val="Normal1"/>
        <w:numPr>
          <w:ilvl w:val="0"/>
          <w:numId w:val="22"/>
        </w:numPr>
        <w:spacing w:before="0" w:after="0"/>
      </w:pPr>
      <w:r w:rsidRPr="004B46A4">
        <w:t>neincluderea costurilor acestor demolări în listele cu cantități de lucrări ale proiectului.</w:t>
      </w:r>
    </w:p>
    <w:p w14:paraId="2C061018" w14:textId="77777777" w:rsidR="006F7658" w:rsidRPr="004B46A4" w:rsidRDefault="006F7658" w:rsidP="006F7658">
      <w:pPr>
        <w:pStyle w:val="Normal1"/>
        <w:spacing w:before="0" w:after="0"/>
        <w:ind w:left="709"/>
      </w:pPr>
    </w:p>
    <w:p w14:paraId="7FA43212" w14:textId="77777777" w:rsidR="000E01BF" w:rsidRPr="004B46A4" w:rsidRDefault="00677D11" w:rsidP="00677D11">
      <w:pPr>
        <w:pStyle w:val="Normal1"/>
        <w:spacing w:before="0"/>
        <w:rPr>
          <w:b/>
        </w:rPr>
      </w:pPr>
      <w:r w:rsidRPr="004B46A4">
        <w:rPr>
          <w:b/>
        </w:rPr>
        <w:t xml:space="preserve">5. </w:t>
      </w:r>
      <w:r w:rsidR="00C35570" w:rsidRPr="004B46A4">
        <w:t>Pentru</w:t>
      </w:r>
      <w:r w:rsidR="00C35570" w:rsidRPr="004B46A4">
        <w:rPr>
          <w:b/>
        </w:rPr>
        <w:t xml:space="preserve"> b</w:t>
      </w:r>
      <w:r w:rsidR="009236D0" w:rsidRPr="004B46A4">
        <w:rPr>
          <w:b/>
        </w:rPr>
        <w:t>locurile care au balcoane</w:t>
      </w:r>
      <w:r w:rsidR="00557611" w:rsidRPr="004B46A4">
        <w:rPr>
          <w:b/>
        </w:rPr>
        <w:t>/extinderi</w:t>
      </w:r>
      <w:r w:rsidR="009236D0" w:rsidRPr="004B46A4">
        <w:rPr>
          <w:b/>
        </w:rPr>
        <w:t xml:space="preserve"> construite ulterior </w:t>
      </w:r>
      <w:proofErr w:type="spellStart"/>
      <w:r w:rsidR="009236D0" w:rsidRPr="004B46A4">
        <w:rPr>
          <w:b/>
        </w:rPr>
        <w:t>execuţiei</w:t>
      </w:r>
      <w:proofErr w:type="spellEnd"/>
      <w:r w:rsidR="009236D0" w:rsidRPr="004B46A4">
        <w:rPr>
          <w:b/>
        </w:rPr>
        <w:t xml:space="preserve"> blocului fără </w:t>
      </w:r>
      <w:proofErr w:type="spellStart"/>
      <w:r w:rsidR="009236D0" w:rsidRPr="004B46A4">
        <w:rPr>
          <w:b/>
        </w:rPr>
        <w:t>autorizaţie</w:t>
      </w:r>
      <w:proofErr w:type="spellEnd"/>
      <w:r w:rsidR="009236D0" w:rsidRPr="004B46A4">
        <w:rPr>
          <w:b/>
        </w:rPr>
        <w:t xml:space="preserve"> de construire</w:t>
      </w:r>
    </w:p>
    <w:p w14:paraId="5921D612" w14:textId="11A1CE04" w:rsidR="00417D6B" w:rsidRPr="004B46A4" w:rsidRDefault="009236D0" w:rsidP="00677D11">
      <w:pPr>
        <w:pStyle w:val="Normal1"/>
        <w:numPr>
          <w:ilvl w:val="0"/>
          <w:numId w:val="29"/>
        </w:numPr>
        <w:spacing w:before="0" w:after="120"/>
      </w:pPr>
      <w:r w:rsidRPr="004B46A4">
        <w:t xml:space="preserve">Includerea </w:t>
      </w:r>
      <w:proofErr w:type="spellStart"/>
      <w:r w:rsidRPr="004B46A4">
        <w:t>activităţii</w:t>
      </w:r>
      <w:proofErr w:type="spellEnd"/>
      <w:r w:rsidRPr="004B46A4">
        <w:t xml:space="preserve"> de reabilitare a acestor balcoane</w:t>
      </w:r>
      <w:r w:rsidR="00557611" w:rsidRPr="004B46A4">
        <w:t>/extinderi</w:t>
      </w:r>
      <w:r w:rsidRPr="004B46A4">
        <w:t xml:space="preserve"> în cererea de </w:t>
      </w:r>
      <w:proofErr w:type="spellStart"/>
      <w:r w:rsidRPr="004B46A4">
        <w:t>finanţare</w:t>
      </w:r>
      <w:proofErr w:type="spellEnd"/>
      <w:r w:rsidRPr="004B46A4">
        <w:t xml:space="preserve"> cu </w:t>
      </w:r>
      <w:proofErr w:type="spellStart"/>
      <w:r w:rsidRPr="004B46A4">
        <w:t>condiţia</w:t>
      </w:r>
      <w:proofErr w:type="spellEnd"/>
      <w:r w:rsidRPr="004B46A4">
        <w:t xml:space="preserve"> </w:t>
      </w:r>
      <w:r w:rsidRPr="00D41D5A">
        <w:rPr>
          <w:u w:val="single"/>
        </w:rPr>
        <w:t>intrării în legalitate</w:t>
      </w:r>
      <w:r w:rsidRPr="004B46A4">
        <w:t xml:space="preserve"> a </w:t>
      </w:r>
      <w:proofErr w:type="spellStart"/>
      <w:r w:rsidRPr="004B46A4">
        <w:t>spaţiilor</w:t>
      </w:r>
      <w:proofErr w:type="spellEnd"/>
      <w:r w:rsidRPr="004B46A4">
        <w:t xml:space="preserve"> executate ulterior </w:t>
      </w:r>
      <w:proofErr w:type="spellStart"/>
      <w:r w:rsidRPr="004B46A4">
        <w:t>construcţiei</w:t>
      </w:r>
      <w:proofErr w:type="spellEnd"/>
      <w:r w:rsidRPr="004B46A4">
        <w:t xml:space="preserve"> </w:t>
      </w:r>
      <w:proofErr w:type="spellStart"/>
      <w:r w:rsidRPr="004B46A4">
        <w:t>şi</w:t>
      </w:r>
      <w:proofErr w:type="spellEnd"/>
      <w:r w:rsidRPr="004B46A4">
        <w:t xml:space="preserve"> neautorizate, până cel târziu la data</w:t>
      </w:r>
      <w:r w:rsidR="00303FEA" w:rsidRPr="004B46A4">
        <w:t xml:space="preserve"> semnării contractului de </w:t>
      </w:r>
      <w:proofErr w:type="spellStart"/>
      <w:r w:rsidR="00303FEA" w:rsidRPr="004B46A4">
        <w:t>finanţare</w:t>
      </w:r>
      <w:proofErr w:type="spellEnd"/>
      <w:r w:rsidRPr="004B46A4">
        <w:t xml:space="preserve">. </w:t>
      </w:r>
    </w:p>
    <w:p w14:paraId="021E625C" w14:textId="6DC83334" w:rsidR="009236D0" w:rsidRPr="004B46A4" w:rsidRDefault="009236D0" w:rsidP="00417D6B">
      <w:pPr>
        <w:pStyle w:val="Normal1"/>
        <w:spacing w:before="0" w:after="120"/>
        <w:ind w:left="720"/>
      </w:pPr>
      <w:r w:rsidRPr="004B46A4">
        <w:t xml:space="preserve">Se vor </w:t>
      </w:r>
      <w:r w:rsidR="00FB05B1" w:rsidRPr="004B46A4">
        <w:t>prezenta</w:t>
      </w:r>
      <w:r w:rsidR="00B45015" w:rsidRPr="004B46A4">
        <w:rPr>
          <w:rStyle w:val="FootnoteReference"/>
        </w:rPr>
        <w:footnoteReference w:id="6"/>
      </w:r>
      <w:r w:rsidR="006538CE" w:rsidRPr="004B46A4">
        <w:t xml:space="preserve"> </w:t>
      </w:r>
      <w:proofErr w:type="spellStart"/>
      <w:r w:rsidR="00FA3974" w:rsidRPr="004B46A4">
        <w:t>d</w:t>
      </w:r>
      <w:r w:rsidRPr="004B46A4">
        <w:t>eclaraţii</w:t>
      </w:r>
      <w:r w:rsidR="00FB05B1" w:rsidRPr="004B46A4">
        <w:t>le</w:t>
      </w:r>
      <w:proofErr w:type="spellEnd"/>
      <w:r w:rsidRPr="004B46A4">
        <w:t xml:space="preserve"> pe proprie răspundere ale proprietarilor acestor balcoane</w:t>
      </w:r>
      <w:r w:rsidR="00557611" w:rsidRPr="004B46A4">
        <w:t>/extinderi</w:t>
      </w:r>
      <w:r w:rsidRPr="004B46A4">
        <w:t xml:space="preserve"> privind demararea procesului de intrare în legalitate, precum </w:t>
      </w:r>
      <w:proofErr w:type="spellStart"/>
      <w:r w:rsidRPr="004B46A4">
        <w:t>şi</w:t>
      </w:r>
      <w:proofErr w:type="spellEnd"/>
      <w:r w:rsidRPr="004B46A4">
        <w:t xml:space="preserve"> o </w:t>
      </w:r>
      <w:proofErr w:type="spellStart"/>
      <w:r w:rsidRPr="004B46A4">
        <w:t>declaraţie</w:t>
      </w:r>
      <w:proofErr w:type="spellEnd"/>
      <w:r w:rsidRPr="004B46A4">
        <w:t xml:space="preserve"> a </w:t>
      </w:r>
      <w:r w:rsidR="00417D6B" w:rsidRPr="004B46A4">
        <w:t>UAT</w:t>
      </w:r>
      <w:r w:rsidRPr="004B46A4">
        <w:t xml:space="preserve"> că acest proces va avea </w:t>
      </w:r>
      <w:r w:rsidR="00FB05B1" w:rsidRPr="004B46A4">
        <w:t xml:space="preserve">loc, în </w:t>
      </w:r>
      <w:proofErr w:type="spellStart"/>
      <w:r w:rsidR="00FB05B1" w:rsidRPr="004B46A4">
        <w:t>condiţiile</w:t>
      </w:r>
      <w:proofErr w:type="spellEnd"/>
      <w:r w:rsidR="00FB05B1" w:rsidRPr="004B46A4">
        <w:t xml:space="preserve"> legi</w:t>
      </w:r>
      <w:r w:rsidR="00FA3974" w:rsidRPr="004B46A4">
        <w:t>i</w:t>
      </w:r>
      <w:r w:rsidR="003355AE">
        <w:t>.</w:t>
      </w:r>
      <w:r w:rsidRPr="004B46A4">
        <w:t xml:space="preserve"> Cheltuielile aferente intrării în legalitate vor fi suportate de proprietari </w:t>
      </w:r>
      <w:proofErr w:type="spellStart"/>
      <w:r w:rsidRPr="004B46A4">
        <w:t>şi</w:t>
      </w:r>
      <w:proofErr w:type="spellEnd"/>
      <w:r w:rsidRPr="004B46A4">
        <w:t xml:space="preserve"> nu se vor include în proiect (nici în categoria </w:t>
      </w:r>
      <w:r w:rsidR="00FA3974" w:rsidRPr="004B46A4">
        <w:t xml:space="preserve">cheltuielilor </w:t>
      </w:r>
      <w:r w:rsidRPr="004B46A4">
        <w:t xml:space="preserve">neeligibile). </w:t>
      </w:r>
      <w:r w:rsidR="00FA3974" w:rsidRPr="004B46A4">
        <w:t>UAT va transmite OI din cadrul ADR documentele de intrare în legalitate</w:t>
      </w:r>
      <w:r w:rsidRPr="004B46A4">
        <w:t xml:space="preserve"> a acestor balcoane</w:t>
      </w:r>
      <w:r w:rsidR="00557611" w:rsidRPr="004B46A4">
        <w:t>/extinderi</w:t>
      </w:r>
      <w:r w:rsidRPr="004B46A4">
        <w:t xml:space="preserve"> neautorizate până cel târziu </w:t>
      </w:r>
      <w:r w:rsidRPr="00450293">
        <w:rPr>
          <w:u w:val="single"/>
        </w:rPr>
        <w:t xml:space="preserve">la data </w:t>
      </w:r>
      <w:r w:rsidR="00303FEA" w:rsidRPr="00450293">
        <w:rPr>
          <w:u w:val="single"/>
        </w:rPr>
        <w:t xml:space="preserve"> </w:t>
      </w:r>
      <w:r w:rsidR="00041533" w:rsidRPr="00450293">
        <w:rPr>
          <w:u w:val="single"/>
        </w:rPr>
        <w:t xml:space="preserve">semnării contractului de </w:t>
      </w:r>
      <w:proofErr w:type="spellStart"/>
      <w:r w:rsidR="00041533" w:rsidRPr="00450293">
        <w:rPr>
          <w:u w:val="single"/>
        </w:rPr>
        <w:t>finanţare</w:t>
      </w:r>
      <w:proofErr w:type="spellEnd"/>
      <w:r w:rsidR="00041533" w:rsidRPr="000C6979">
        <w:t>.</w:t>
      </w:r>
      <w:r w:rsidR="00D41D5A" w:rsidRPr="000C6979">
        <w:t xml:space="preserve"> Semnarea contractului de finanțare va fi condiționată de prezentarea documentelor care atestă intrarea în legalitate.</w:t>
      </w:r>
    </w:p>
    <w:p w14:paraId="62B01386" w14:textId="77777777" w:rsidR="00515E5E" w:rsidRPr="004B46A4" w:rsidRDefault="00515E5E" w:rsidP="00C42F9A">
      <w:pPr>
        <w:pStyle w:val="Normal1"/>
        <w:spacing w:before="0" w:after="0"/>
        <w:ind w:left="349"/>
      </w:pPr>
      <w:r w:rsidRPr="004B46A4">
        <w:t>Sau</w:t>
      </w:r>
    </w:p>
    <w:p w14:paraId="56BACBB9" w14:textId="46E05F0A" w:rsidR="004B46A4" w:rsidRDefault="009236D0" w:rsidP="008A47F1">
      <w:pPr>
        <w:pStyle w:val="Normal1"/>
        <w:numPr>
          <w:ilvl w:val="0"/>
          <w:numId w:val="29"/>
        </w:numPr>
        <w:spacing w:before="0" w:after="0"/>
      </w:pPr>
      <w:r w:rsidRPr="00D41D5A">
        <w:rPr>
          <w:u w:val="single"/>
        </w:rPr>
        <w:t>Demolarea</w:t>
      </w:r>
      <w:r w:rsidRPr="004B46A4">
        <w:t xml:space="preserve"> balcoanelor</w:t>
      </w:r>
      <w:r w:rsidR="00557611" w:rsidRPr="004B46A4">
        <w:t>/extinderilor</w:t>
      </w:r>
      <w:r w:rsidRPr="004B46A4">
        <w:t xml:space="preserve"> executate fără </w:t>
      </w:r>
      <w:proofErr w:type="spellStart"/>
      <w:r w:rsidRPr="004B46A4">
        <w:t>autorizaţie</w:t>
      </w:r>
      <w:proofErr w:type="spellEnd"/>
      <w:r w:rsidRPr="004B46A4">
        <w:t xml:space="preserve"> de construire, până cel târziu la data</w:t>
      </w:r>
      <w:r w:rsidR="00041533" w:rsidRPr="004B46A4">
        <w:t xml:space="preserve"> semnării contractului de </w:t>
      </w:r>
      <w:proofErr w:type="spellStart"/>
      <w:r w:rsidR="00041533" w:rsidRPr="004B46A4">
        <w:t>finanţare</w:t>
      </w:r>
      <w:proofErr w:type="spellEnd"/>
      <w:r w:rsidRPr="004B46A4">
        <w:t>,. Se vor prezenta</w:t>
      </w:r>
      <w:r w:rsidR="00B45015" w:rsidRPr="004B46A4">
        <w:rPr>
          <w:rStyle w:val="FootnoteReference"/>
        </w:rPr>
        <w:footnoteReference w:id="7"/>
      </w:r>
      <w:r w:rsidRPr="004B46A4">
        <w:t xml:space="preserve"> </w:t>
      </w:r>
      <w:proofErr w:type="spellStart"/>
      <w:r w:rsidRPr="004B46A4">
        <w:t>declaraţii</w:t>
      </w:r>
      <w:r w:rsidR="00FA3974" w:rsidRPr="004B46A4">
        <w:t>le</w:t>
      </w:r>
      <w:proofErr w:type="spellEnd"/>
      <w:r w:rsidRPr="004B46A4">
        <w:t xml:space="preserve"> pe proprie răspundere ale proprietarilor acestor balcoane</w:t>
      </w:r>
      <w:r w:rsidR="00557611" w:rsidRPr="004B46A4">
        <w:t>/extinderi</w:t>
      </w:r>
      <w:r w:rsidRPr="004B46A4">
        <w:t xml:space="preserve"> privind demararea procesului de demolare, precum </w:t>
      </w:r>
      <w:proofErr w:type="spellStart"/>
      <w:r w:rsidRPr="004B46A4">
        <w:t>şi</w:t>
      </w:r>
      <w:proofErr w:type="spellEnd"/>
      <w:r w:rsidRPr="004B46A4">
        <w:t xml:space="preserve"> o </w:t>
      </w:r>
      <w:proofErr w:type="spellStart"/>
      <w:r w:rsidRPr="004B46A4">
        <w:t>declaraţie</w:t>
      </w:r>
      <w:proofErr w:type="spellEnd"/>
      <w:r w:rsidRPr="004B46A4">
        <w:t xml:space="preserve"> a </w:t>
      </w:r>
      <w:r w:rsidR="00417D6B" w:rsidRPr="004B46A4">
        <w:t xml:space="preserve">UAT </w:t>
      </w:r>
      <w:r w:rsidRPr="004B46A4">
        <w:t>că acest proces va avea loc, î</w:t>
      </w:r>
      <w:r w:rsidR="00FA3974" w:rsidRPr="004B46A4">
        <w:t xml:space="preserve">n </w:t>
      </w:r>
      <w:proofErr w:type="spellStart"/>
      <w:r w:rsidR="00FA3974" w:rsidRPr="004B46A4">
        <w:t>condiţiile</w:t>
      </w:r>
      <w:proofErr w:type="spellEnd"/>
      <w:r w:rsidR="00FA3974" w:rsidRPr="004B46A4">
        <w:t xml:space="preserve"> legii</w:t>
      </w:r>
      <w:r w:rsidR="003355AE">
        <w:t>.</w:t>
      </w:r>
      <w:r w:rsidRPr="004B46A4">
        <w:t xml:space="preserve"> Cheltuielile aferente demolării vor fi suportate de proprietari </w:t>
      </w:r>
      <w:proofErr w:type="spellStart"/>
      <w:r w:rsidRPr="004B46A4">
        <w:t>şi</w:t>
      </w:r>
      <w:proofErr w:type="spellEnd"/>
      <w:r w:rsidRPr="004B46A4">
        <w:t xml:space="preserve"> nu se vor include în proiect (nici în categoria </w:t>
      </w:r>
      <w:r w:rsidR="00FA3974" w:rsidRPr="004B46A4">
        <w:t xml:space="preserve">cheltuielilor </w:t>
      </w:r>
      <w:r w:rsidRPr="004B46A4">
        <w:t xml:space="preserve">neeligibile). </w:t>
      </w:r>
      <w:r w:rsidR="00FA3974" w:rsidRPr="004B46A4">
        <w:t>UAT va verifica și va notifica OI din cadrul ADR în legătură cu finalizarea lucrărilor de demolare a acestor balcoane</w:t>
      </w:r>
      <w:r w:rsidR="00557611" w:rsidRPr="004B46A4">
        <w:t>/extinderi</w:t>
      </w:r>
      <w:r w:rsidR="00FA3974" w:rsidRPr="004B46A4">
        <w:t xml:space="preserve"> neautorizate până cel târziu </w:t>
      </w:r>
      <w:r w:rsidR="00FA3974" w:rsidRPr="00D41D5A">
        <w:rPr>
          <w:u w:val="single"/>
        </w:rPr>
        <w:t>la data</w:t>
      </w:r>
      <w:r w:rsidR="00041533" w:rsidRPr="00D41D5A">
        <w:rPr>
          <w:u w:val="single"/>
        </w:rPr>
        <w:t xml:space="preserve"> semnării contractului de </w:t>
      </w:r>
      <w:proofErr w:type="spellStart"/>
      <w:r w:rsidR="00041533" w:rsidRPr="00D41D5A">
        <w:rPr>
          <w:u w:val="single"/>
        </w:rPr>
        <w:t>finanţare</w:t>
      </w:r>
      <w:proofErr w:type="spellEnd"/>
      <w:r w:rsidR="00D41D5A">
        <w:t xml:space="preserve">. </w:t>
      </w:r>
      <w:r w:rsidR="00D41D5A" w:rsidRPr="000C6979">
        <w:t>Semnarea contractului de finanțare va fi condiționată de prezentarea documentelor care atestă demolarea.</w:t>
      </w:r>
    </w:p>
    <w:p w14:paraId="4ADAAA60" w14:textId="77777777" w:rsidR="00AD0D0D" w:rsidRDefault="00AD0D0D" w:rsidP="00AD0D0D">
      <w:pPr>
        <w:pStyle w:val="Normal1"/>
        <w:spacing w:before="0" w:after="0"/>
        <w:ind w:left="720"/>
      </w:pPr>
    </w:p>
    <w:p w14:paraId="270E8C3A" w14:textId="63EACD68" w:rsidR="00AD0D0D" w:rsidRPr="000C6979" w:rsidRDefault="000C6979" w:rsidP="00AD0D0D">
      <w:pPr>
        <w:pStyle w:val="Normal1"/>
        <w:spacing w:before="0" w:after="0"/>
      </w:pPr>
      <w:r w:rsidRPr="000C6979">
        <w:t xml:space="preserve">Pentru prezentarea situației centralizatoare privind lucrările </w:t>
      </w:r>
      <w:r w:rsidR="00AD0D0D" w:rsidRPr="000C6979">
        <w:t>executate ulterior construcției blocurilor</w:t>
      </w:r>
      <w:r w:rsidRPr="000C6979">
        <w:t xml:space="preserve">, </w:t>
      </w:r>
      <w:r w:rsidR="00393E7A" w:rsidRPr="000C6979">
        <w:t>în conformitate c</w:t>
      </w:r>
      <w:r w:rsidRPr="000C6979">
        <w:t>u punctele 3, 4 și 5 de mai sus</w:t>
      </w:r>
      <w:r w:rsidR="00AD0D0D" w:rsidRPr="000C6979">
        <w:t xml:space="preserve"> </w:t>
      </w:r>
      <w:r w:rsidR="00D41D5A" w:rsidRPr="000C6979">
        <w:t xml:space="preserve">solicitantul va completa un </w:t>
      </w:r>
      <w:r w:rsidR="00D41D5A" w:rsidRPr="000C6979">
        <w:rPr>
          <w:i/>
        </w:rPr>
        <w:t>Tabel centralizator al lucrărilor executate ulterior construcției blocurilor</w:t>
      </w:r>
      <w:r w:rsidR="00D41D5A" w:rsidRPr="000C6979">
        <w:t xml:space="preserve"> (</w:t>
      </w:r>
      <w:r w:rsidR="00AD0D0D" w:rsidRPr="000C6979">
        <w:t>Modelul J- din cadrul Anexei 3.1.A.1</w:t>
      </w:r>
      <w:r w:rsidR="00D41D5A" w:rsidRPr="000C6979">
        <w:t>)</w:t>
      </w:r>
      <w:r w:rsidR="00AD0D0D" w:rsidRPr="000C6979">
        <w:t xml:space="preserve">. </w:t>
      </w:r>
    </w:p>
    <w:sectPr w:rsidR="00AD0D0D" w:rsidRPr="000C6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8D9CC" w14:textId="77777777" w:rsidR="005D19F3" w:rsidRDefault="005D19F3" w:rsidP="00995C14">
      <w:pPr>
        <w:spacing w:before="0" w:after="0"/>
      </w:pPr>
      <w:r>
        <w:separator/>
      </w:r>
    </w:p>
  </w:endnote>
  <w:endnote w:type="continuationSeparator" w:id="0">
    <w:p w14:paraId="542EF829" w14:textId="77777777" w:rsidR="005D19F3" w:rsidRDefault="005D19F3" w:rsidP="00995C1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57281" w14:textId="77777777" w:rsidR="003F39DA" w:rsidRDefault="003F39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618F9" w14:textId="77777777" w:rsidR="003F39DA" w:rsidRDefault="003F39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D8E83" w14:textId="77777777" w:rsidR="003F39DA" w:rsidRDefault="003F3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11D0F" w14:textId="77777777" w:rsidR="005D19F3" w:rsidRDefault="005D19F3" w:rsidP="00995C14">
      <w:pPr>
        <w:spacing w:before="0" w:after="0"/>
      </w:pPr>
      <w:r>
        <w:separator/>
      </w:r>
    </w:p>
  </w:footnote>
  <w:footnote w:type="continuationSeparator" w:id="0">
    <w:p w14:paraId="57CB93D4" w14:textId="77777777" w:rsidR="005D19F3" w:rsidRDefault="005D19F3" w:rsidP="00995C14">
      <w:pPr>
        <w:spacing w:before="0" w:after="0"/>
      </w:pPr>
      <w:r>
        <w:continuationSeparator/>
      </w:r>
    </w:p>
  </w:footnote>
  <w:footnote w:id="1">
    <w:p w14:paraId="7FBA38A8" w14:textId="77777777" w:rsidR="00F62E16" w:rsidRDefault="00F62E16" w:rsidP="00F62E1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62E16">
        <w:rPr>
          <w:sz w:val="16"/>
          <w:szCs w:val="16"/>
        </w:rPr>
        <w:t>Declaraţiile</w:t>
      </w:r>
      <w:proofErr w:type="spellEnd"/>
      <w:r w:rsidRPr="00F62E16">
        <w:rPr>
          <w:sz w:val="16"/>
          <w:szCs w:val="16"/>
        </w:rPr>
        <w:t xml:space="preserve"> pe propria răspundere nu se vor include ca anexă la cererea de </w:t>
      </w:r>
      <w:proofErr w:type="spellStart"/>
      <w:r w:rsidRPr="00F62E16">
        <w:rPr>
          <w:sz w:val="16"/>
          <w:szCs w:val="16"/>
        </w:rPr>
        <w:t>finanţare</w:t>
      </w:r>
      <w:proofErr w:type="spellEnd"/>
      <w:r w:rsidRPr="00F62E16">
        <w:rPr>
          <w:sz w:val="16"/>
          <w:szCs w:val="16"/>
        </w:rPr>
        <w:t xml:space="preserve"> în vederea depunerii la OI, ci se vor păstra de UAT în vederea unor verificări ulterioare</w:t>
      </w:r>
      <w:r>
        <w:rPr>
          <w:sz w:val="16"/>
          <w:szCs w:val="16"/>
        </w:rPr>
        <w:t>.</w:t>
      </w:r>
    </w:p>
  </w:footnote>
  <w:footnote w:id="2">
    <w:p w14:paraId="07A77A1A" w14:textId="3759BF31" w:rsidR="001E6800" w:rsidRDefault="001E6800">
      <w:pPr>
        <w:pStyle w:val="FootnoteText"/>
      </w:pPr>
      <w:r w:rsidRPr="004B46A4">
        <w:rPr>
          <w:rStyle w:val="FootnoteReference"/>
        </w:rPr>
        <w:footnoteRef/>
      </w:r>
      <w:r w:rsidRPr="004B46A4">
        <w:t xml:space="preserve"> </w:t>
      </w:r>
      <w:r w:rsidRPr="004B46A4">
        <w:rPr>
          <w:sz w:val="16"/>
          <w:szCs w:val="16"/>
          <w:lang w:eastAsia="ro-RO"/>
        </w:rPr>
        <w:t>odată cu cererea de finanțare sau în momentul în care intervine o astfel de situație</w:t>
      </w:r>
    </w:p>
  </w:footnote>
  <w:footnote w:id="3">
    <w:p w14:paraId="261C8F6D" w14:textId="77777777" w:rsidR="001717ED" w:rsidRPr="007752AD" w:rsidRDefault="001717ED" w:rsidP="001717ED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66AF9">
        <w:rPr>
          <w:sz w:val="16"/>
          <w:szCs w:val="16"/>
        </w:rPr>
        <w:t xml:space="preserve">Avizul proiectantului va fi anexă la contractul de </w:t>
      </w:r>
      <w:proofErr w:type="spellStart"/>
      <w:r w:rsidRPr="00566AF9">
        <w:rPr>
          <w:sz w:val="16"/>
          <w:szCs w:val="16"/>
        </w:rPr>
        <w:t>finanţare</w:t>
      </w:r>
      <w:proofErr w:type="spellEnd"/>
      <w:r w:rsidRPr="00566AF9">
        <w:rPr>
          <w:sz w:val="16"/>
          <w:szCs w:val="16"/>
        </w:rPr>
        <w:t>.</w:t>
      </w:r>
    </w:p>
  </w:footnote>
  <w:footnote w:id="4">
    <w:p w14:paraId="30B70EF5" w14:textId="354B5559" w:rsidR="00AC71A3" w:rsidRPr="004B46A4" w:rsidRDefault="00AC71A3">
      <w:pPr>
        <w:pStyle w:val="FootnoteText"/>
      </w:pPr>
      <w:r w:rsidRPr="004B46A4">
        <w:rPr>
          <w:sz w:val="16"/>
          <w:szCs w:val="16"/>
        </w:rPr>
        <w:footnoteRef/>
      </w:r>
      <w:r w:rsidR="001E6800" w:rsidRPr="004B46A4">
        <w:rPr>
          <w:sz w:val="16"/>
          <w:szCs w:val="16"/>
        </w:rPr>
        <w:t xml:space="preserve"> Idem </w:t>
      </w:r>
      <w:r w:rsidR="001E6800" w:rsidRPr="004B46A4">
        <w:rPr>
          <w:sz w:val="16"/>
          <w:szCs w:val="16"/>
          <w:vertAlign w:val="superscript"/>
        </w:rPr>
        <w:t>3</w:t>
      </w:r>
    </w:p>
  </w:footnote>
  <w:footnote w:id="5">
    <w:p w14:paraId="47803E7B" w14:textId="6DF39786" w:rsidR="001E6800" w:rsidRPr="004B46A4" w:rsidRDefault="001E6800">
      <w:pPr>
        <w:pStyle w:val="FootnoteText"/>
      </w:pPr>
      <w:r w:rsidRPr="004B46A4">
        <w:rPr>
          <w:rStyle w:val="FootnoteReference"/>
        </w:rPr>
        <w:footnoteRef/>
      </w:r>
      <w:r w:rsidRPr="004B46A4">
        <w:t xml:space="preserve"> </w:t>
      </w:r>
      <w:r w:rsidRPr="004B46A4">
        <w:rPr>
          <w:sz w:val="16"/>
          <w:szCs w:val="16"/>
        </w:rPr>
        <w:t xml:space="preserve">Idem </w:t>
      </w:r>
      <w:r w:rsidRPr="004B46A4">
        <w:rPr>
          <w:sz w:val="16"/>
          <w:szCs w:val="16"/>
          <w:vertAlign w:val="superscript"/>
        </w:rPr>
        <w:t>2</w:t>
      </w:r>
    </w:p>
  </w:footnote>
  <w:footnote w:id="6">
    <w:p w14:paraId="7BA70282" w14:textId="1DDCD4B6" w:rsidR="00B45015" w:rsidRPr="004B46A4" w:rsidRDefault="00B45015">
      <w:pPr>
        <w:pStyle w:val="FootnoteText"/>
      </w:pPr>
      <w:r w:rsidRPr="004B46A4">
        <w:rPr>
          <w:rStyle w:val="FootnoteReference"/>
        </w:rPr>
        <w:footnoteRef/>
      </w:r>
      <w:r w:rsidRPr="004B46A4">
        <w:t xml:space="preserve"> </w:t>
      </w:r>
      <w:r w:rsidRPr="004B46A4">
        <w:rPr>
          <w:sz w:val="16"/>
          <w:szCs w:val="16"/>
        </w:rPr>
        <w:t xml:space="preserve">Idem </w:t>
      </w:r>
      <w:r w:rsidRPr="004B46A4">
        <w:rPr>
          <w:sz w:val="16"/>
          <w:szCs w:val="16"/>
          <w:vertAlign w:val="superscript"/>
        </w:rPr>
        <w:t>2</w:t>
      </w:r>
    </w:p>
  </w:footnote>
  <w:footnote w:id="7">
    <w:p w14:paraId="1256D5EC" w14:textId="57218940" w:rsidR="00B45015" w:rsidRDefault="00B45015">
      <w:pPr>
        <w:pStyle w:val="FootnoteText"/>
      </w:pPr>
      <w:r w:rsidRPr="004B46A4">
        <w:rPr>
          <w:rStyle w:val="FootnoteReference"/>
        </w:rPr>
        <w:footnoteRef/>
      </w:r>
      <w:r w:rsidRPr="004B46A4">
        <w:t xml:space="preserve"> </w:t>
      </w:r>
      <w:r w:rsidRPr="004B46A4">
        <w:rPr>
          <w:sz w:val="16"/>
          <w:szCs w:val="16"/>
        </w:rPr>
        <w:t xml:space="preserve">Idem </w:t>
      </w:r>
      <w:r w:rsidRPr="004B46A4">
        <w:rPr>
          <w:sz w:val="16"/>
          <w:szCs w:val="16"/>
          <w:vertAlign w:val="superscript"/>
        </w:rPr>
        <w:t>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43497" w14:textId="77777777" w:rsidR="003F39DA" w:rsidRDefault="003F39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7E354" w14:textId="77777777" w:rsidR="00283089" w:rsidRPr="00D3096F" w:rsidRDefault="00283089" w:rsidP="00283089">
    <w:pPr>
      <w:pStyle w:val="Header"/>
      <w:jc w:val="both"/>
      <w:rPr>
        <w:rFonts w:cs="Arial"/>
        <w:b/>
        <w:color w:val="333333"/>
        <w:sz w:val="16"/>
        <w:szCs w:val="16"/>
      </w:rPr>
    </w:pPr>
    <w:r w:rsidRPr="00D3096F">
      <w:rPr>
        <w:rFonts w:cs="Arial"/>
        <w:b/>
        <w:color w:val="333333"/>
        <w:sz w:val="16"/>
        <w:szCs w:val="16"/>
      </w:rPr>
      <w:t xml:space="preserve">Programul </w:t>
    </w:r>
    <w:proofErr w:type="spellStart"/>
    <w:r>
      <w:rPr>
        <w:rFonts w:cs="Arial"/>
        <w:b/>
        <w:color w:val="333333"/>
        <w:sz w:val="16"/>
        <w:szCs w:val="16"/>
      </w:rPr>
      <w:t>Operaţional</w:t>
    </w:r>
    <w:proofErr w:type="spellEnd"/>
    <w:r>
      <w:rPr>
        <w:rFonts w:cs="Arial"/>
        <w:b/>
        <w:color w:val="333333"/>
        <w:sz w:val="16"/>
        <w:szCs w:val="16"/>
      </w:rPr>
      <w:t xml:space="preserve"> Regional 2014-2020</w:t>
    </w:r>
  </w:p>
  <w:p w14:paraId="0288DC7E" w14:textId="77777777" w:rsidR="00283089" w:rsidRPr="00790F00" w:rsidRDefault="00283089" w:rsidP="00283089">
    <w:pPr>
      <w:pStyle w:val="Header"/>
      <w:jc w:val="both"/>
      <w:rPr>
        <w:rFonts w:cs="Arial"/>
        <w:b/>
        <w:bCs/>
        <w:color w:val="333333"/>
        <w:sz w:val="16"/>
        <w:szCs w:val="16"/>
      </w:rPr>
    </w:pPr>
    <w:bookmarkStart w:id="1" w:name="_Toc424303571"/>
    <w:r w:rsidRPr="00790F00">
      <w:rPr>
        <w:rFonts w:cs="Arial"/>
        <w:b/>
        <w:bCs/>
        <w:color w:val="333333"/>
        <w:sz w:val="16"/>
        <w:szCs w:val="16"/>
      </w:rPr>
      <w:t xml:space="preserve">Axa prioritară 3: </w:t>
    </w:r>
    <w:r w:rsidRPr="00790F00">
      <w:rPr>
        <w:rFonts w:cs="Arial"/>
        <w:b/>
        <w:color w:val="333333"/>
        <w:sz w:val="16"/>
        <w:szCs w:val="16"/>
      </w:rPr>
      <w:t>Sprijinirea  tranziției către o economie cu emisii scăzute de carbon</w:t>
    </w:r>
    <w:bookmarkEnd w:id="1"/>
  </w:p>
  <w:p w14:paraId="577F927B" w14:textId="77777777" w:rsidR="00283089" w:rsidRDefault="00283089" w:rsidP="00283089">
    <w:pPr>
      <w:pStyle w:val="Header"/>
      <w:ind w:right="4365"/>
      <w:jc w:val="both"/>
      <w:rPr>
        <w:rFonts w:cs="Arial"/>
        <w:color w:val="333333"/>
        <w:sz w:val="16"/>
        <w:szCs w:val="16"/>
      </w:rPr>
    </w:pPr>
    <w:r w:rsidRPr="00D3096F">
      <w:rPr>
        <w:rFonts w:cs="Arial"/>
        <w:color w:val="333333"/>
        <w:sz w:val="16"/>
        <w:szCs w:val="16"/>
      </w:rPr>
      <w:t>Prioritatea de investiții 3.1 - Sprijinirea eficienței energetice, a gestionării inteligente a energiei și a utilizării energiei din surse regenerabile în infrastructurile publice, inclusiv în clădirile publice, și în sectorul locuințelor</w:t>
    </w:r>
  </w:p>
  <w:p w14:paraId="5423682E" w14:textId="77777777" w:rsidR="00283089" w:rsidRDefault="00283089" w:rsidP="00283089">
    <w:pPr>
      <w:pStyle w:val="Header"/>
      <w:jc w:val="both"/>
      <w:rPr>
        <w:rFonts w:cs="Arial"/>
        <w:b/>
        <w:color w:val="333333"/>
        <w:sz w:val="16"/>
        <w:szCs w:val="16"/>
      </w:rPr>
    </w:pPr>
    <w:proofErr w:type="spellStart"/>
    <w:r w:rsidRPr="00D3096F">
      <w:rPr>
        <w:rFonts w:cs="Arial"/>
        <w:b/>
        <w:color w:val="333333"/>
        <w:sz w:val="16"/>
        <w:szCs w:val="16"/>
      </w:rPr>
      <w:t>Operaţiunea</w:t>
    </w:r>
    <w:proofErr w:type="spellEnd"/>
    <w:r w:rsidRPr="00D3096F">
      <w:rPr>
        <w:rFonts w:cs="Arial"/>
        <w:b/>
        <w:color w:val="333333"/>
        <w:sz w:val="16"/>
        <w:szCs w:val="16"/>
      </w:rPr>
      <w:t xml:space="preserve"> A - Clădiri </w:t>
    </w:r>
    <w:proofErr w:type="spellStart"/>
    <w:r w:rsidRPr="00D3096F">
      <w:rPr>
        <w:rFonts w:cs="Arial"/>
        <w:b/>
        <w:color w:val="333333"/>
        <w:sz w:val="16"/>
        <w:szCs w:val="16"/>
      </w:rPr>
      <w:t>rezidenţiale</w:t>
    </w:r>
    <w:proofErr w:type="spellEnd"/>
  </w:p>
  <w:p w14:paraId="6D6081FA" w14:textId="77777777" w:rsidR="00283089" w:rsidRDefault="00283089" w:rsidP="00283089">
    <w:pPr>
      <w:pStyle w:val="Header"/>
      <w:jc w:val="both"/>
      <w:rPr>
        <w:rFonts w:cs="Arial"/>
        <w:b/>
        <w:color w:val="333333"/>
        <w:sz w:val="16"/>
        <w:szCs w:val="16"/>
      </w:rPr>
    </w:pPr>
  </w:p>
  <w:p w14:paraId="2A6748C9" w14:textId="10810D5A" w:rsidR="00283089" w:rsidRPr="00283089" w:rsidRDefault="00283089" w:rsidP="00283089">
    <w:pPr>
      <w:pStyle w:val="Header"/>
      <w:jc w:val="right"/>
      <w:rPr>
        <w:rFonts w:cs="Arial"/>
        <w:color w:val="333333"/>
        <w:sz w:val="14"/>
      </w:rPr>
    </w:pPr>
    <w:r>
      <w:rPr>
        <w:rFonts w:cs="Arial"/>
        <w:b/>
        <w:bCs/>
        <w:color w:val="333333"/>
        <w:sz w:val="14"/>
      </w:rPr>
      <w:t xml:space="preserve">Ghidul Solicitantului. Condiții specifice de accesare a fondurilor în cadrul </w:t>
    </w:r>
    <w:r w:rsidR="00A046BA">
      <w:rPr>
        <w:rFonts w:cs="Arial"/>
        <w:b/>
        <w:bCs/>
        <w:color w:val="333333"/>
        <w:sz w:val="14"/>
      </w:rPr>
      <w:t>apelului de proiecte</w:t>
    </w:r>
    <w:r w:rsidR="003F39DA">
      <w:rPr>
        <w:rFonts w:cs="Arial"/>
        <w:b/>
        <w:bCs/>
        <w:color w:val="333333"/>
        <w:sz w:val="14"/>
      </w:rPr>
      <w:t xml:space="preserve"> POR</w:t>
    </w:r>
    <w:r w:rsidR="004B71EA">
      <w:rPr>
        <w:rFonts w:cs="Arial"/>
        <w:b/>
        <w:bCs/>
        <w:color w:val="333333"/>
        <w:sz w:val="14"/>
      </w:rPr>
      <w:t>/2016/3/3.1/A</w:t>
    </w:r>
  </w:p>
  <w:p w14:paraId="57600F53" w14:textId="77777777" w:rsidR="00995C14" w:rsidRPr="00283089" w:rsidRDefault="00BF7129" w:rsidP="00995C14">
    <w:pPr>
      <w:pStyle w:val="Normal1"/>
      <w:spacing w:before="0" w:after="0"/>
      <w:jc w:val="right"/>
      <w:rPr>
        <w:rFonts w:cs="Arial"/>
        <w:b/>
        <w:bCs/>
        <w:color w:val="333333"/>
        <w:sz w:val="14"/>
      </w:rPr>
    </w:pPr>
    <w:r>
      <w:rPr>
        <w:rFonts w:cs="Arial"/>
        <w:b/>
        <w:bCs/>
        <w:color w:val="333333"/>
        <w:sz w:val="14"/>
      </w:rPr>
      <w:t>Anexa 3.1.A.4</w:t>
    </w:r>
  </w:p>
  <w:p w14:paraId="1B38C7DC" w14:textId="77777777" w:rsidR="00995C14" w:rsidRDefault="00995C14" w:rsidP="00995C1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B631C" w14:textId="77777777" w:rsidR="003F39DA" w:rsidRDefault="003F39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2177"/>
    <w:multiLevelType w:val="hybridMultilevel"/>
    <w:tmpl w:val="F9388AD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B9602C"/>
    <w:multiLevelType w:val="hybridMultilevel"/>
    <w:tmpl w:val="6074DC4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095ABC"/>
    <w:multiLevelType w:val="hybridMultilevel"/>
    <w:tmpl w:val="4B78C79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D376E"/>
    <w:multiLevelType w:val="hybridMultilevel"/>
    <w:tmpl w:val="8CC6F3CA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8F5633"/>
    <w:multiLevelType w:val="hybridMultilevel"/>
    <w:tmpl w:val="6982FB88"/>
    <w:lvl w:ilvl="0" w:tplc="F288E804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0360B5"/>
    <w:multiLevelType w:val="hybridMultilevel"/>
    <w:tmpl w:val="76FABE32"/>
    <w:lvl w:ilvl="0" w:tplc="5CCA31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B0D40"/>
    <w:multiLevelType w:val="hybridMultilevel"/>
    <w:tmpl w:val="FBB4F1DC"/>
    <w:lvl w:ilvl="0" w:tplc="AE64B1F4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433F00"/>
    <w:multiLevelType w:val="hybridMultilevel"/>
    <w:tmpl w:val="25162ED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94B6CFE"/>
    <w:multiLevelType w:val="hybridMultilevel"/>
    <w:tmpl w:val="52E6CCCE"/>
    <w:lvl w:ilvl="0" w:tplc="AE64B1F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33498"/>
    <w:multiLevelType w:val="hybridMultilevel"/>
    <w:tmpl w:val="B68EED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CA711C"/>
    <w:multiLevelType w:val="hybridMultilevel"/>
    <w:tmpl w:val="20CA287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A4A80"/>
    <w:multiLevelType w:val="hybridMultilevel"/>
    <w:tmpl w:val="8D7C3AE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D94B2E"/>
    <w:multiLevelType w:val="hybridMultilevel"/>
    <w:tmpl w:val="E8A80130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E1A3662"/>
    <w:multiLevelType w:val="hybridMultilevel"/>
    <w:tmpl w:val="FEC2119E"/>
    <w:lvl w:ilvl="0" w:tplc="AE64B1F4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22D6B17"/>
    <w:multiLevelType w:val="hybridMultilevel"/>
    <w:tmpl w:val="9A4E4346"/>
    <w:lvl w:ilvl="0" w:tplc="5CCA31BC">
      <w:start w:val="1"/>
      <w:numFmt w:val="bullet"/>
      <w:lvlText w:val=""/>
      <w:lvlJc w:val="left"/>
      <w:pPr>
        <w:ind w:left="70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5" w15:restartNumberingAfterBreak="0">
    <w:nsid w:val="469207C9"/>
    <w:multiLevelType w:val="multilevel"/>
    <w:tmpl w:val="D35AB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A210B25"/>
    <w:multiLevelType w:val="hybridMultilevel"/>
    <w:tmpl w:val="84E0007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C3CE6"/>
    <w:multiLevelType w:val="multilevel"/>
    <w:tmpl w:val="016CE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69C6514"/>
    <w:multiLevelType w:val="multilevel"/>
    <w:tmpl w:val="ED7C5E7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7244EC2"/>
    <w:multiLevelType w:val="hybridMultilevel"/>
    <w:tmpl w:val="AB0C949C"/>
    <w:lvl w:ilvl="0" w:tplc="8D20A294">
      <w:numFmt w:val="bullet"/>
      <w:lvlText w:val="-"/>
      <w:lvlJc w:val="left"/>
      <w:pPr>
        <w:ind w:left="1068" w:hanging="360"/>
      </w:pPr>
      <w:rPr>
        <w:rFonts w:ascii="Trebuchet MS" w:eastAsia="Times New Roman" w:hAnsi="Trebuchet MS" w:cs="Times New Roman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8C9575C"/>
    <w:multiLevelType w:val="hybridMultilevel"/>
    <w:tmpl w:val="1A8A7D9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A7365"/>
    <w:multiLevelType w:val="hybridMultilevel"/>
    <w:tmpl w:val="6CB026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F1F81"/>
    <w:multiLevelType w:val="hybridMultilevel"/>
    <w:tmpl w:val="A8C61D4E"/>
    <w:lvl w:ilvl="0" w:tplc="0418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2174B95"/>
    <w:multiLevelType w:val="multilevel"/>
    <w:tmpl w:val="A9BC184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2AD41AD"/>
    <w:multiLevelType w:val="hybridMultilevel"/>
    <w:tmpl w:val="88FA7C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4F5EE2"/>
    <w:multiLevelType w:val="hybridMultilevel"/>
    <w:tmpl w:val="88C42AA2"/>
    <w:lvl w:ilvl="0" w:tplc="041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6C85915"/>
    <w:multiLevelType w:val="hybridMultilevel"/>
    <w:tmpl w:val="7F148040"/>
    <w:lvl w:ilvl="0" w:tplc="0418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6822260D"/>
    <w:multiLevelType w:val="hybridMultilevel"/>
    <w:tmpl w:val="402683B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5B56C8"/>
    <w:multiLevelType w:val="multilevel"/>
    <w:tmpl w:val="ED7C5E7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56A2616"/>
    <w:multiLevelType w:val="hybridMultilevel"/>
    <w:tmpl w:val="BE543BD4"/>
    <w:lvl w:ilvl="0" w:tplc="AFDABD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C14689F"/>
    <w:multiLevelType w:val="hybridMultilevel"/>
    <w:tmpl w:val="B328751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2046F"/>
    <w:multiLevelType w:val="hybridMultilevel"/>
    <w:tmpl w:val="0CF433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10"/>
  </w:num>
  <w:num w:numId="5">
    <w:abstractNumId w:val="6"/>
  </w:num>
  <w:num w:numId="6">
    <w:abstractNumId w:val="9"/>
  </w:num>
  <w:num w:numId="7">
    <w:abstractNumId w:val="0"/>
  </w:num>
  <w:num w:numId="8">
    <w:abstractNumId w:val="24"/>
  </w:num>
  <w:num w:numId="9">
    <w:abstractNumId w:val="20"/>
  </w:num>
  <w:num w:numId="10">
    <w:abstractNumId w:val="12"/>
  </w:num>
  <w:num w:numId="11">
    <w:abstractNumId w:val="27"/>
  </w:num>
  <w:num w:numId="12">
    <w:abstractNumId w:val="26"/>
  </w:num>
  <w:num w:numId="13">
    <w:abstractNumId w:val="11"/>
  </w:num>
  <w:num w:numId="14">
    <w:abstractNumId w:val="22"/>
  </w:num>
  <w:num w:numId="15">
    <w:abstractNumId w:val="1"/>
  </w:num>
  <w:num w:numId="16">
    <w:abstractNumId w:val="7"/>
  </w:num>
  <w:num w:numId="17">
    <w:abstractNumId w:val="14"/>
  </w:num>
  <w:num w:numId="18">
    <w:abstractNumId w:val="21"/>
  </w:num>
  <w:num w:numId="19">
    <w:abstractNumId w:val="5"/>
  </w:num>
  <w:num w:numId="20">
    <w:abstractNumId w:val="3"/>
  </w:num>
  <w:num w:numId="21">
    <w:abstractNumId w:val="4"/>
  </w:num>
  <w:num w:numId="22">
    <w:abstractNumId w:val="29"/>
  </w:num>
  <w:num w:numId="23">
    <w:abstractNumId w:val="25"/>
  </w:num>
  <w:num w:numId="24">
    <w:abstractNumId w:val="28"/>
  </w:num>
  <w:num w:numId="25">
    <w:abstractNumId w:val="18"/>
  </w:num>
  <w:num w:numId="26">
    <w:abstractNumId w:val="23"/>
  </w:num>
  <w:num w:numId="27">
    <w:abstractNumId w:val="15"/>
  </w:num>
  <w:num w:numId="28">
    <w:abstractNumId w:val="13"/>
  </w:num>
  <w:num w:numId="29">
    <w:abstractNumId w:val="31"/>
  </w:num>
  <w:num w:numId="30">
    <w:abstractNumId w:val="8"/>
  </w:num>
  <w:num w:numId="31">
    <w:abstractNumId w:val="3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7E"/>
    <w:rsid w:val="00030FA1"/>
    <w:rsid w:val="00041533"/>
    <w:rsid w:val="000731D1"/>
    <w:rsid w:val="00073274"/>
    <w:rsid w:val="000771A7"/>
    <w:rsid w:val="00077DAF"/>
    <w:rsid w:val="000A232C"/>
    <w:rsid w:val="000C6979"/>
    <w:rsid w:val="000C7B9F"/>
    <w:rsid w:val="000D1A39"/>
    <w:rsid w:val="000E01BF"/>
    <w:rsid w:val="000E4CCA"/>
    <w:rsid w:val="00137D46"/>
    <w:rsid w:val="001717ED"/>
    <w:rsid w:val="00172BCC"/>
    <w:rsid w:val="0017777A"/>
    <w:rsid w:val="0018235C"/>
    <w:rsid w:val="00196F20"/>
    <w:rsid w:val="001C0F21"/>
    <w:rsid w:val="001C6BC0"/>
    <w:rsid w:val="001E6800"/>
    <w:rsid w:val="001E7F76"/>
    <w:rsid w:val="00214CB2"/>
    <w:rsid w:val="00220828"/>
    <w:rsid w:val="002253C4"/>
    <w:rsid w:val="0023630C"/>
    <w:rsid w:val="002773AC"/>
    <w:rsid w:val="002825FE"/>
    <w:rsid w:val="00283089"/>
    <w:rsid w:val="00296EC1"/>
    <w:rsid w:val="002A34DF"/>
    <w:rsid w:val="002B0C73"/>
    <w:rsid w:val="002B177B"/>
    <w:rsid w:val="002E2144"/>
    <w:rsid w:val="00303FEA"/>
    <w:rsid w:val="003100CC"/>
    <w:rsid w:val="00321522"/>
    <w:rsid w:val="003355AE"/>
    <w:rsid w:val="00343137"/>
    <w:rsid w:val="00370F64"/>
    <w:rsid w:val="00393E7A"/>
    <w:rsid w:val="003A6029"/>
    <w:rsid w:val="003C3FD5"/>
    <w:rsid w:val="003E110E"/>
    <w:rsid w:val="003F1358"/>
    <w:rsid w:val="003F39DA"/>
    <w:rsid w:val="00417D6B"/>
    <w:rsid w:val="00427BF6"/>
    <w:rsid w:val="00444017"/>
    <w:rsid w:val="00444800"/>
    <w:rsid w:val="00450293"/>
    <w:rsid w:val="00495C08"/>
    <w:rsid w:val="004A11F4"/>
    <w:rsid w:val="004B46A4"/>
    <w:rsid w:val="004B71EA"/>
    <w:rsid w:val="004F2648"/>
    <w:rsid w:val="00515E5E"/>
    <w:rsid w:val="005216E5"/>
    <w:rsid w:val="005345FB"/>
    <w:rsid w:val="00557611"/>
    <w:rsid w:val="00564AF2"/>
    <w:rsid w:val="00566AF9"/>
    <w:rsid w:val="00572903"/>
    <w:rsid w:val="005818C4"/>
    <w:rsid w:val="005D11F9"/>
    <w:rsid w:val="005D16FE"/>
    <w:rsid w:val="005D19F3"/>
    <w:rsid w:val="005F6A73"/>
    <w:rsid w:val="00636332"/>
    <w:rsid w:val="00641778"/>
    <w:rsid w:val="006538CE"/>
    <w:rsid w:val="00661B8D"/>
    <w:rsid w:val="0067739A"/>
    <w:rsid w:val="00677D11"/>
    <w:rsid w:val="00697DD3"/>
    <w:rsid w:val="006A7AA5"/>
    <w:rsid w:val="006B0CBB"/>
    <w:rsid w:val="006B3A71"/>
    <w:rsid w:val="006C37D3"/>
    <w:rsid w:val="006D32DB"/>
    <w:rsid w:val="006E2E5B"/>
    <w:rsid w:val="006F7658"/>
    <w:rsid w:val="00701F7C"/>
    <w:rsid w:val="00704A17"/>
    <w:rsid w:val="00706FAD"/>
    <w:rsid w:val="007345D3"/>
    <w:rsid w:val="0075068B"/>
    <w:rsid w:val="007752AD"/>
    <w:rsid w:val="00775CAE"/>
    <w:rsid w:val="007916A8"/>
    <w:rsid w:val="0079185A"/>
    <w:rsid w:val="007E7DC8"/>
    <w:rsid w:val="007F2E1F"/>
    <w:rsid w:val="00810551"/>
    <w:rsid w:val="008147F1"/>
    <w:rsid w:val="00830C7F"/>
    <w:rsid w:val="00840347"/>
    <w:rsid w:val="008547F8"/>
    <w:rsid w:val="00873ADC"/>
    <w:rsid w:val="00881724"/>
    <w:rsid w:val="008A47F1"/>
    <w:rsid w:val="008D350B"/>
    <w:rsid w:val="008E5B78"/>
    <w:rsid w:val="008F6F4F"/>
    <w:rsid w:val="009023B4"/>
    <w:rsid w:val="00905E6D"/>
    <w:rsid w:val="00907561"/>
    <w:rsid w:val="009236D0"/>
    <w:rsid w:val="00952DE1"/>
    <w:rsid w:val="00987939"/>
    <w:rsid w:val="00995C14"/>
    <w:rsid w:val="00A046BA"/>
    <w:rsid w:val="00A476BD"/>
    <w:rsid w:val="00A95D00"/>
    <w:rsid w:val="00AB4569"/>
    <w:rsid w:val="00AB45C3"/>
    <w:rsid w:val="00AC4199"/>
    <w:rsid w:val="00AC71A3"/>
    <w:rsid w:val="00AD0D0D"/>
    <w:rsid w:val="00B2401E"/>
    <w:rsid w:val="00B30E78"/>
    <w:rsid w:val="00B45015"/>
    <w:rsid w:val="00B5668D"/>
    <w:rsid w:val="00B96007"/>
    <w:rsid w:val="00BE3680"/>
    <w:rsid w:val="00BF7129"/>
    <w:rsid w:val="00C22556"/>
    <w:rsid w:val="00C35570"/>
    <w:rsid w:val="00C42F9A"/>
    <w:rsid w:val="00C55C96"/>
    <w:rsid w:val="00C77673"/>
    <w:rsid w:val="00C9692A"/>
    <w:rsid w:val="00CA5EC1"/>
    <w:rsid w:val="00CB2458"/>
    <w:rsid w:val="00CB3F83"/>
    <w:rsid w:val="00D01CC8"/>
    <w:rsid w:val="00D05690"/>
    <w:rsid w:val="00D26C54"/>
    <w:rsid w:val="00D326A5"/>
    <w:rsid w:val="00D41D5A"/>
    <w:rsid w:val="00D44DE0"/>
    <w:rsid w:val="00D76692"/>
    <w:rsid w:val="00D9054E"/>
    <w:rsid w:val="00D9088F"/>
    <w:rsid w:val="00DA4F2A"/>
    <w:rsid w:val="00DB24EF"/>
    <w:rsid w:val="00E01EC2"/>
    <w:rsid w:val="00E532F9"/>
    <w:rsid w:val="00E64BF3"/>
    <w:rsid w:val="00E66A7E"/>
    <w:rsid w:val="00E730CB"/>
    <w:rsid w:val="00E805E6"/>
    <w:rsid w:val="00E84F3B"/>
    <w:rsid w:val="00EA06CB"/>
    <w:rsid w:val="00EA53EE"/>
    <w:rsid w:val="00EB40D5"/>
    <w:rsid w:val="00EE0F25"/>
    <w:rsid w:val="00F05879"/>
    <w:rsid w:val="00F16FAA"/>
    <w:rsid w:val="00F51F6D"/>
    <w:rsid w:val="00F62E16"/>
    <w:rsid w:val="00F8706A"/>
    <w:rsid w:val="00F9746F"/>
    <w:rsid w:val="00FA3974"/>
    <w:rsid w:val="00FB05B1"/>
    <w:rsid w:val="00FD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B8CE9"/>
  <w15:docId w15:val="{7734D9DB-59CE-4C00-A1D8-68D73239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E5B78"/>
    <w:pPr>
      <w:spacing w:before="120" w:after="120" w:line="240" w:lineRule="auto"/>
    </w:pPr>
    <w:rPr>
      <w:rFonts w:ascii="Trebuchet MS" w:eastAsia="Times New Roman" w:hAnsi="Trebuchet MS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5216E5"/>
    <w:pPr>
      <w:spacing w:before="60" w:after="60"/>
      <w:jc w:val="both"/>
    </w:pPr>
  </w:style>
  <w:style w:type="paragraph" w:styleId="BodyTextIndent">
    <w:name w:val="Body Text Indent"/>
    <w:basedOn w:val="Normal"/>
    <w:link w:val="BodyTextIndentChar"/>
    <w:rsid w:val="009236D0"/>
    <w:pPr>
      <w:spacing w:before="0" w:after="0"/>
      <w:ind w:left="720" w:hanging="360"/>
      <w:jc w:val="both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236D0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02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02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995C14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995C14"/>
    <w:rPr>
      <w:rFonts w:ascii="Trebuchet MS" w:eastAsia="Times New Roman" w:hAnsi="Trebuchet MS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95C14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5C14"/>
    <w:rPr>
      <w:rFonts w:ascii="Trebuchet MS" w:eastAsia="Times New Roman" w:hAnsi="Trebuchet MS" w:cs="Times New Roman"/>
      <w:sz w:val="20"/>
      <w:szCs w:val="24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"/>
    <w:unhideWhenUsed/>
    <w:rsid w:val="00F62E16"/>
    <w:pPr>
      <w:spacing w:before="0" w:after="0"/>
    </w:pPr>
    <w:rPr>
      <w:szCs w:val="20"/>
    </w:rPr>
  </w:style>
  <w:style w:type="character" w:customStyle="1" w:styleId="FootnoteTextChar">
    <w:name w:val="Footnote Text Char"/>
    <w:aliases w:val="Footnote Text Char Char Char1,Fußnote Char1,single space Char1,footnote text Char1,FOOTNOTES Char1,fn Char1,Podrozdział Char,Footnote Char1,stile 1 Char1,Footnote1 Char1,Footnote2 Char1,Footnote3 Char1,Footnote4 Char1,Footnote5 Char1"/>
    <w:basedOn w:val="DefaultParagraphFont"/>
    <w:link w:val="FootnoteText"/>
    <w:uiPriority w:val="99"/>
    <w:semiHidden/>
    <w:rsid w:val="00F62E16"/>
    <w:rPr>
      <w:rFonts w:ascii="Trebuchet MS" w:eastAsia="Times New Roman" w:hAnsi="Trebuchet MS" w:cs="Times New Roman"/>
      <w:sz w:val="20"/>
      <w:szCs w:val="20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basedOn w:val="DefaultParagraphFont"/>
    <w:link w:val="BVIfnrChar1Char"/>
    <w:unhideWhenUsed/>
    <w:qFormat/>
    <w:rsid w:val="00F62E16"/>
    <w:rPr>
      <w:vertAlign w:val="superscript"/>
    </w:rPr>
  </w:style>
  <w:style w:type="paragraph" w:styleId="ListParagraph">
    <w:name w:val="List Paragraph"/>
    <w:basedOn w:val="Normal"/>
    <w:uiPriority w:val="34"/>
    <w:qFormat/>
    <w:rsid w:val="000A232C"/>
    <w:pPr>
      <w:ind w:left="720"/>
      <w:contextualSpacing/>
    </w:pPr>
  </w:style>
  <w:style w:type="character" w:customStyle="1" w:styleId="FootnoteTextCharCharChar">
    <w:name w:val="Footnote Text Char Char Char"/>
    <w:aliases w:val="Fußnote Char,single space Char,footnote text Char,FOOTNOTES Char,stile 1 Char,Footnote Char,Footnote1 Char,Footnote2 Char,Footnote3 Char,Footnote4 Char,Footnote5 Char,Footnote6 Char,Footnote7 Char,Footnote Text Char1"/>
    <w:rsid w:val="00214CB2"/>
    <w:rPr>
      <w:rFonts w:ascii="Trebuchet MS" w:hAnsi="Trebuchet MS"/>
      <w:sz w:val="16"/>
      <w:lang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214CB2"/>
    <w:pPr>
      <w:spacing w:before="0"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04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A1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A17"/>
    <w:rPr>
      <w:rFonts w:ascii="Trebuchet MS" w:eastAsia="Times New Roman" w:hAnsi="Trebuchet M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A17"/>
    <w:rPr>
      <w:rFonts w:ascii="Trebuchet MS" w:eastAsia="Times New Roman" w:hAnsi="Trebuchet M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5BBF6-6A89-413D-B527-AF7312F5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1738</Words>
  <Characters>8922</Characters>
  <Application>Microsoft Office Word</Application>
  <DocSecurity>0</DocSecurity>
  <Lines>146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 Varzaru</dc:creator>
  <cp:lastModifiedBy>dell  pc</cp:lastModifiedBy>
  <cp:revision>2</cp:revision>
  <cp:lastPrinted>2016-03-04T14:05:00Z</cp:lastPrinted>
  <dcterms:created xsi:type="dcterms:W3CDTF">2016-03-28T18:32:00Z</dcterms:created>
  <dcterms:modified xsi:type="dcterms:W3CDTF">2016-03-28T18:32:00Z</dcterms:modified>
</cp:coreProperties>
</file>